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333333"/>
          <w:spacing w:val="-15"/>
          <w:sz w:val="36"/>
          <w:szCs w:val="36"/>
          <w:shd w:val="clear" w:fill="FFFFFF"/>
        </w:rPr>
        <w:t>中国银保监会机关2020年度拟录用参公单位工作人员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-15"/>
          <w:sz w:val="36"/>
          <w:szCs w:val="36"/>
          <w:shd w:val="clear" w:fill="FFFFFF"/>
        </w:rPr>
        <w:t>名单（第二批）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-15"/>
          <w:sz w:val="36"/>
          <w:szCs w:val="36"/>
          <w:shd w:val="clear" w:fill="FFFFFF"/>
        </w:rPr>
        <w:t> </w:t>
      </w:r>
    </w:p>
    <w:tbl>
      <w:tblPr>
        <w:tblW w:w="1104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761"/>
        <w:gridCol w:w="737"/>
        <w:gridCol w:w="495"/>
        <w:gridCol w:w="1605"/>
        <w:gridCol w:w="806"/>
        <w:gridCol w:w="863"/>
        <w:gridCol w:w="3726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拟录用职位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4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一级主任科员及以下400146003001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马俊骥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154111011201707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中国政法大学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2015.06-2017.07 北京大成律师事务所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2021-01-28T08:37:38Z</dcterms:created>
  <dc:creator>Administrator</dc:creator>
  <cp:lastModifiedBy>Wii</cp:lastModifiedBy>
  <dcterms:modified xsi:type="dcterms:W3CDTF">2021-01-28T08:37:41Z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