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国家卫生健康委</w:t>
      </w: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  <w:t>2021</w:t>
      </w: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年度拟录用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</w:rPr>
        <w:t>公务员和机关工作人员名单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"/>
        <w:gridCol w:w="692"/>
        <w:gridCol w:w="558"/>
        <w:gridCol w:w="368"/>
        <w:gridCol w:w="2063"/>
        <w:gridCol w:w="1088"/>
        <w:gridCol w:w="1112"/>
        <w:gridCol w:w="1536"/>
        <w:gridCol w:w="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7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6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8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20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7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办公厅研究室一级主任科员及以下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江昱青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4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123132020200728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福建中医药大学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中国人民解放军江苏省军区无锡第五离职干部休养所门诊部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聘用制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人事司综合处一级主任科员及以下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张新月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123137030201216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南京财经大学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山东省检察官培训学院潍坊分院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0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疾控局传染病防控处、结核病防控处一级主任科员及以下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宋士勋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123111013900521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河北联合大学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中国疾病预防控制中心环境与健康相关产品安全所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何御舟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123111110400421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中国疾病预防控制中心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首都医科大学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医政医管局医疗管理处一级主任科员及以下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朱焱磊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123111024600212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首都医科大学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首都医科大学附属复兴医院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药政司综合处一级主任科员及以下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蒲嘉琪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123111017100511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中国药科大学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国家药品监督管理局药品评审中心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职业健康司业务处一级主任科员及以下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王中贺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123132020200427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南京医科大学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江苏省苏州高新区（虎丘区）卫生监督所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人口家庭司政策协调处一级主任科员及以下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李晓辉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016133310200514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上海师范大学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中共湖州市委党校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国际司欧美处一级主任科员及以下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 毅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123137020101417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 研究生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外交学院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机关党委办公室（宣传处、行业党建处）一级主任科员及以下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杨子雷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123121014401224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东北电力大学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内蒙古自治区赤峰市敖汉旗卫生健康委员会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0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监督中心综合业务处职位1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一级主任科员及以下 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张森焱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123114014300103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湖北工业大学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山西省农村经济经营管理站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8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陆思恒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123134010506111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研究生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汕头大学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安徽医科大学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监督中心综合业务处职位2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刘冠炜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123111025401603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中央民族大学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北京水利水电学校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tblCellSpacing w:w="15" w:type="dxa"/>
          <w:jc w:val="center"/>
        </w:trPr>
        <w:tc>
          <w:tcPr>
            <w:tcW w:w="49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监督中心信息处一级主任科员及以下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于杰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123112010801122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大学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南京农业大学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天津市河东区政务服务保障中心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事业单位工作人员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61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2021-06-10T02:19:21Z</dcterms:created>
  <dc:creator>Administrator</dc:creator>
  <cp:lastModifiedBy>Wii</cp:lastModifiedBy>
  <dcterms:modified xsi:type="dcterms:W3CDTF">2021-06-10T02:19:24Z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