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Theme="majorEastAsia" w:hAnsiTheme="majorEastAsia" w:eastAsiaTheme="majorEastAsia" w:cstheme="majorEastAsia"/>
          <w:color w:val="000000"/>
          <w:sz w:val="32"/>
          <w:szCs w:val="32"/>
          <w:lang w:eastAsia="zh-CN"/>
        </w:rPr>
      </w:pPr>
      <w:r>
        <w:rPr>
          <w:rFonts w:hint="eastAsia" w:asciiTheme="majorEastAsia" w:hAnsiTheme="majorEastAsia" w:eastAsiaTheme="majorEastAsia" w:cstheme="majorEastAsia"/>
          <w:color w:val="000000"/>
          <w:sz w:val="32"/>
          <w:szCs w:val="32"/>
          <w:lang w:eastAsia="zh-CN"/>
        </w:rPr>
        <w:t>附件</w:t>
      </w:r>
      <w:r>
        <w:rPr>
          <w:rFonts w:hint="eastAsia" w:asciiTheme="majorEastAsia" w:hAnsiTheme="majorEastAsia" w:eastAsiaTheme="majorEastAsia" w:cstheme="majorEastAsia"/>
          <w:color w:val="000000"/>
          <w:sz w:val="32"/>
          <w:szCs w:val="32"/>
          <w:lang w:val="en-US" w:eastAsia="zh-CN"/>
        </w:rPr>
        <w:t>4</w:t>
      </w:r>
    </w:p>
    <w:p>
      <w:pPr>
        <w:spacing w:line="550" w:lineRule="exact"/>
        <w:jc w:val="center"/>
        <w:rPr>
          <w:rFonts w:hint="eastAsia" w:ascii="方正小标宋简体" w:eastAsia="方正小标宋简体"/>
          <w:color w:val="000000"/>
          <w:sz w:val="44"/>
          <w:szCs w:val="44"/>
          <w:lang w:eastAsia="zh-CN"/>
        </w:rPr>
      </w:pPr>
      <w:r>
        <w:rPr>
          <w:rFonts w:ascii="方正小标宋简体" w:eastAsia="方正小标宋简体"/>
          <w:color w:val="000000"/>
          <w:sz w:val="44"/>
          <w:szCs w:val="44"/>
        </w:rPr>
        <w:t>20</w:t>
      </w:r>
      <w:r>
        <w:rPr>
          <w:rFonts w:hint="eastAsia" w:ascii="方正小标宋简体" w:eastAsia="方正小标宋简体"/>
          <w:color w:val="000000"/>
          <w:sz w:val="44"/>
          <w:szCs w:val="44"/>
        </w:rPr>
        <w:t>2</w:t>
      </w:r>
      <w:r>
        <w:rPr>
          <w:rFonts w:hint="eastAsia" w:ascii="方正小标宋简体" w:eastAsia="方正小标宋简体"/>
          <w:color w:val="000000"/>
          <w:sz w:val="44"/>
          <w:szCs w:val="44"/>
          <w:lang w:val="en-US" w:eastAsia="zh-CN"/>
        </w:rPr>
        <w:t>3</w:t>
      </w:r>
      <w:r>
        <w:rPr>
          <w:rFonts w:hint="eastAsia" w:ascii="方正小标宋简体" w:eastAsia="方正小标宋简体"/>
          <w:color w:val="000000"/>
          <w:sz w:val="44"/>
          <w:szCs w:val="44"/>
        </w:rPr>
        <w:t>年度</w:t>
      </w:r>
      <w:r>
        <w:rPr>
          <w:rFonts w:hint="eastAsia" w:ascii="方正小标宋简体" w:eastAsia="方正小标宋简体"/>
          <w:color w:val="000000"/>
          <w:sz w:val="44"/>
          <w:szCs w:val="44"/>
          <w:lang w:eastAsia="zh-CN"/>
        </w:rPr>
        <w:t>公安机关人民警察职位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w:t>
      </w:r>
      <w:r>
        <w:rPr>
          <w:rFonts w:hint="eastAsia" w:ascii="方正小标宋简体" w:eastAsia="方正小标宋简体"/>
          <w:color w:val="000000"/>
          <w:spacing w:val="-12"/>
          <w:sz w:val="44"/>
          <w:szCs w:val="44"/>
          <w:lang w:eastAsia="zh-CN"/>
        </w:rPr>
        <w:t>笔试</w:t>
      </w:r>
      <w:r>
        <w:rPr>
          <w:rFonts w:hint="eastAsia" w:ascii="方正小标宋简体" w:eastAsia="方正小标宋简体"/>
          <w:color w:val="000000"/>
          <w:spacing w:val="-12"/>
          <w:sz w:val="44"/>
          <w:szCs w:val="44"/>
        </w:rPr>
        <w:t>考试大纲</w:t>
      </w:r>
    </w:p>
    <w:p>
      <w:pPr>
        <w:spacing w:line="550" w:lineRule="exact"/>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为便于报考者充分了解202</w:t>
      </w:r>
      <w:r>
        <w:rPr>
          <w:rFonts w:hint="eastAsia" w:ascii="Times New Roman" w:hAnsi="Times New Roman" w:eastAsia="仿宋_GB2312"/>
          <w:color w:val="000000"/>
          <w:szCs w:val="32"/>
          <w:lang w:val="en-US" w:eastAsia="zh-CN"/>
        </w:rPr>
        <w:t>3</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hint="eastAsia" w:ascii="黑体" w:hAnsi="黑体" w:eastAsia="黑体"/>
          <w:color w:val="000000"/>
          <w:szCs w:val="32"/>
        </w:rPr>
      </w:pPr>
      <w:r>
        <w:rPr>
          <w:rFonts w:hint="eastAsia" w:ascii="黑体" w:hAnsi="黑体" w:eastAsia="黑体"/>
          <w:color w:val="000000"/>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202</w:t>
      </w:r>
      <w:r>
        <w:rPr>
          <w:rFonts w:hint="eastAsia" w:ascii="Times New Roman" w:hAnsi="Times New Roman" w:eastAsia="仿宋_GB2312"/>
          <w:color w:val="000000"/>
          <w:szCs w:val="32"/>
          <w:lang w:val="en-US" w:eastAsia="zh-CN"/>
        </w:rPr>
        <w:t>3</w:t>
      </w:r>
      <w:r>
        <w:rPr>
          <w:rFonts w:hint="eastAsia" w:ascii="Times New Roman" w:hAnsi="Times New Roman" w:eastAsia="仿宋_GB2312"/>
          <w:color w:val="000000"/>
          <w:szCs w:val="32"/>
        </w:rPr>
        <w:t>年度公安机关面向社会招录人民警察专业科目笔试采用闭卷考试方式，全部为客观性试题，考试时限120分钟，满分100分。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黑体" w:hAnsi="黑体" w:eastAsia="黑体"/>
          <w:color w:val="000000"/>
          <w:szCs w:val="32"/>
        </w:rPr>
      </w:pPr>
      <w:r>
        <w:rPr>
          <w:rFonts w:hint="eastAsia" w:ascii="黑体" w:hAnsi="黑体" w:eastAsia="黑体"/>
          <w:color w:val="000000"/>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报考者务必携带的考试文具包括黑色字迹的钢笔或签字笔、2B铅笔和橡皮。报考者必须用2B铅笔在指定位置上填涂准考证号，并在答题卡上作答。在试题本或其他位置作答一律无效。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政治素质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（1）政治立场与忠诚度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（2）政治敏锐性与鉴别力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职业道德和纪律要求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（1）人民警察核心价值观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（2）人民警察职业道德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（3）人民警察职业纪律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（2）法学基础理论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（3）宪法基础知识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（4）民法基础知识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（5）人民警察法基础知识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（6）行政执法基础知识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（7）刑事执法基础知识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公安基础知识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pacing w:val="-9"/>
          <w:szCs w:val="32"/>
        </w:rPr>
      </w:pPr>
      <w:r>
        <w:rPr>
          <w:rFonts w:hint="eastAsia" w:ascii="Times New Roman" w:hAnsi="Times New Roman" w:eastAsia="仿宋_GB2312"/>
          <w:color w:val="000000"/>
          <w:szCs w:val="32"/>
        </w:rPr>
        <w:t>（2）</w:t>
      </w:r>
      <w:r>
        <w:rPr>
          <w:rFonts w:hint="eastAsia" w:ascii="Times New Roman" w:hAnsi="Times New Roman" w:eastAsia="仿宋_GB2312"/>
          <w:color w:val="000000"/>
          <w:spacing w:val="-9"/>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（3）公安队伍建设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（4）公安执法监督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 群众工作能力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（2）沟通协调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（3）组织动员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（4）服务群众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 行政管理能力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（2）纠纷化解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（3）风险识别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（4）风险防范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 信息工作能力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（1）信息收集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（3）信息应用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 实务工作能力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（1）巡逻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（2）接警与处警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5. 应急处理能力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（1）事态研判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（2）信息上报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（3）合理处置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A．警官职务序列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B．警员职务序列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C．警务技术职务序列</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D．辅警职务序列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下图为某市文峰派出所社区民警绘制的小区住户信息登记表的部分内容：</w:t>
      </w:r>
    </w:p>
    <w:p>
      <w:pPr>
        <w:rPr>
          <w:rFonts w:ascii="Times New Roman" w:hAnsi="Times New Roman" w:eastAsia="仿宋_GB2312"/>
          <w:szCs w:val="32"/>
        </w:rPr>
      </w:pPr>
      <w:r>
        <w:rPr>
          <w:rFonts w:hint="eastAsia" w:ascii="Times New Roman" w:hAnsi="Times New Roman" w:eastAsia="仿宋_GB2312"/>
          <w:szCs w:val="32"/>
          <w:lang w:val="en-US" w:eastAsia="zh-CN"/>
        </w:rPr>
        <w:t xml:space="preserve">    </w:t>
      </w: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A．该楼只有两类住户，即人户分离户、租户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B．人户分离户是指在本楼居住但户口在其他派出所的住户</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C．每户标注不同颜色表明对不同人口的管理有区别</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D．民警希望加强对人户分离户、租户的管理</w:t>
      </w:r>
    </w:p>
    <w:p>
      <w:pPr>
        <w:spacing w:line="56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正确答案：B、C、D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bookmarkStart w:id="0" w:name="_GoBack"/>
      <w:bookmarkEnd w:id="0"/>
      <w:r>
        <w:rPr>
          <w:rFonts w:hint="eastAsia" w:ascii="Times New Roman" w:hAnsi="Times New Roman" w:eastAsia="仿宋_GB2312"/>
          <w:color w:val="000000"/>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（1）本案中，民警将赵某带回派出所值班室盘问的法律依据是：（单选）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A．《人民警察法》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B．《刑法》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C．《刑事诉讼法》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D．《治安管理处罚法》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（2）民警对赵某继续进行盘问检查，符合的盘问条件是：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A．被指控有犯罪行为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B．有现场作案嫌疑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C．有作案嫌疑且身份不明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D．携带的物品有可能是赃物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（3）如果赵某在继续盘问期间不讲自己的真实姓名，派出所在规定时间以内仍不能证实或者排除其违法犯罪嫌疑的，最长可以延长至：（单选）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A．八小时</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B．十二小时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C．二十四小时</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hint="eastAsia" w:ascii="Times New Roman" w:hAnsi="Times New Roman" w:eastAsia="仿宋_GB2312"/>
          <w:color w:val="000000"/>
          <w:szCs w:val="32"/>
        </w:rPr>
        <w:t>D．四十八小时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正确答案：D</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（4）如果民警在继续盘问期间，赵某交代六部手机均为盗窃所得。经鉴定，六部手机价值两万余元，派出所对赵某正确的做法有：（多选）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A．立案侦查</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B．先行拘留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C．决定逮捕</w:t>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ab/>
      </w:r>
      <w:r>
        <w:rPr>
          <w:rFonts w:hint="eastAsia" w:ascii="Times New Roman" w:hAnsi="Times New Roman" w:eastAsia="仿宋_GB2312"/>
          <w:color w:val="000000"/>
          <w:szCs w:val="32"/>
        </w:rPr>
        <w:t>D．移送起诉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eastAsia="仿宋_GB2312"/>
          <w:color w:val="000000"/>
          <w:szCs w:val="32"/>
        </w:rPr>
      </w:pPr>
      <w:r>
        <w:rPr>
          <w:rFonts w:hint="eastAsia" w:ascii="Times New Roman" w:hAnsi="Times New Roman" w:eastAsia="仿宋_GB2312"/>
          <w:color w:val="000000"/>
          <w:szCs w:val="32"/>
        </w:rPr>
        <w:t>正确答案：A、B</w:t>
      </w:r>
    </w:p>
    <w:sectPr>
      <w:footerReference r:id="rId3" w:type="default"/>
      <w:footerReference r:id="rId4" w:type="even"/>
      <w:pgSz w:w="11906" w:h="16838"/>
      <w:pgMar w:top="1814" w:right="1531" w:bottom="1417" w:left="1531" w:header="851" w:footer="1531"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1416344D"/>
    <w:rsid w:val="176755DC"/>
    <w:rsid w:val="1C774B0B"/>
    <w:rsid w:val="36BC43C3"/>
    <w:rsid w:val="38CF6E4D"/>
    <w:rsid w:val="38F71030"/>
    <w:rsid w:val="3B0043D4"/>
    <w:rsid w:val="3D353C7E"/>
    <w:rsid w:val="43410928"/>
    <w:rsid w:val="48192B2E"/>
    <w:rsid w:val="4B7A6806"/>
    <w:rsid w:val="56066B97"/>
    <w:rsid w:val="70875A89"/>
    <w:rsid w:val="74976EEC"/>
    <w:rsid w:val="78EC0531"/>
    <w:rsid w:val="794E66DC"/>
    <w:rsid w:val="7C43703C"/>
    <w:rsid w:val="7CDE4264"/>
    <w:rsid w:val="7F8D0F3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ScaleCrop>false</ScaleCrop>
  <LinksUpToDate>false</LinksUpToDate>
  <CharactersWithSpaces>1910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 公务员二处</cp:lastModifiedBy>
  <cp:lastPrinted>2017-09-26T02:29:00Z</cp:lastPrinted>
  <dcterms:modified xsi:type="dcterms:W3CDTF">2023-01-08T18:00:01Z</dcterms:modified>
  <dc:title>2021年度公安机关人民警察职位</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