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引进范围高校名单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引进范围高校Ⅰ（42所）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引进范围高校Ⅱ（105所）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GY0ZTNkYmNiNTMwZTBlNjY2OTEwMTQzZGU2NmQifQ=="/>
  </w:docVars>
  <w:rsids>
    <w:rsidRoot w:val="05290BFD"/>
    <w:rsid w:val="05290BFD"/>
    <w:rsid w:val="0B0E4E77"/>
    <w:rsid w:val="0D1F0524"/>
    <w:rsid w:val="18FA594C"/>
    <w:rsid w:val="236F5BCF"/>
    <w:rsid w:val="316809DB"/>
    <w:rsid w:val="39A0102E"/>
    <w:rsid w:val="48E37899"/>
    <w:rsid w:val="552F09FF"/>
    <w:rsid w:val="58E37DCB"/>
    <w:rsid w:val="6C7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1017</Characters>
  <Lines>1</Lines>
  <Paragraphs>1</Paragraphs>
  <TotalTime>62</TotalTime>
  <ScaleCrop>false</ScaleCrop>
  <LinksUpToDate>false</LinksUpToDate>
  <CharactersWithSpaces>1017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2023-02-09T08:26:00Z</dcterms:created>
  <dc:creator>夷则暮染</dc:creator>
  <cp:lastModifiedBy>Administrator</cp:lastModifiedBy>
  <dcterms:modified xsi:type="dcterms:W3CDTF">2023-04-28T05:38:40Z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41AC2B68B21C4A459D0B5F6FEB95A48B</vt:lpwstr>
  </property>
</Properties>
</file>