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</w:pP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  <w:t>2024年全省事业单位公开招聘岗位信息填报规范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一、总体要求</w:t>
      </w:r>
    </w:p>
    <w:p>
      <w:pPr>
        <w:widowControl w:val="0"/>
        <w:wordWrap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岗位信息填报应确保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文字精炼准确，语法统一规范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。填报信息统一使用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仿宋_GB2312字体，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除专有名词外数字统一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小写阿拉伯数字，每个单元格中内容前后不得有空格。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各市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岗位按照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先市直、后县区（含所属街道和乡镇）的顺序排列。</w:t>
      </w:r>
    </w:p>
    <w:p>
      <w:pPr>
        <w:widowControl w:val="0"/>
        <w:wordWrap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kern w:val="0"/>
          <w:sz w:val="34"/>
          <w:szCs w:val="34"/>
        </w:rPr>
        <w:t>二、各栏目</w:t>
      </w:r>
      <w:r>
        <w:rPr>
          <w:rFonts w:hint="default" w:ascii="Times New Roman" w:hAnsi="Times New Roman" w:eastAsia="黑体" w:cs="Times New Roman"/>
          <w:kern w:val="0"/>
          <w:sz w:val="34"/>
          <w:szCs w:val="34"/>
          <w:lang w:eastAsia="zh-CN"/>
        </w:rPr>
        <w:t>填报</w:t>
      </w:r>
      <w:r>
        <w:rPr>
          <w:rFonts w:hint="default" w:ascii="Times New Roman" w:hAnsi="Times New Roman" w:eastAsia="黑体" w:cs="Times New Roman"/>
          <w:kern w:val="0"/>
          <w:sz w:val="34"/>
          <w:szCs w:val="34"/>
        </w:rPr>
        <w:t>具体要求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4"/>
          <w:szCs w:val="34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“序号”列（居中对齐）：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4"/>
          <w:szCs w:val="34"/>
          <w:lang w:eastAsia="zh-CN"/>
        </w:rPr>
        <w:t>各市统一汇总岗位信息后按小写阿拉伯数字由“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4"/>
          <w:szCs w:val="3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4"/>
          <w:szCs w:val="34"/>
          <w:lang w:eastAsia="zh-CN"/>
        </w:rPr>
        <w:t>”起依次排序。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4"/>
          <w:szCs w:val="34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“部门层级”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4"/>
          <w:szCs w:val="34"/>
          <w:lang w:eastAsia="zh-CN"/>
        </w:rPr>
        <w:t>分别选择“省直、市直、区直、县（市）直、县直、街道、乡镇”。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）“系统类别”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分别选择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“党群、政府”。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）“招聘单位”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列（居中对齐）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须按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事业单位标准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全称填写（“三定规定”或公章上名称），不得使用简称或省略省、市、县（区）名称，不得以主管部门、事业单位内设机构或分支机构作为招聘单位。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）“岗位名称”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列（居中对齐）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应与单位职能、岗位职责相匹配，一般为“***工作人员、***教师、***医生”等，可体现内设机构或分支机构名称，不得出现“***科员”等不规范表述。同一招聘单位中如岗位名称相同，需加数字（一、二、三......）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加以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区分，例如办公室文秘一、办公室文秘二。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）“岗位类别”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4"/>
          <w:szCs w:val="34"/>
          <w:lang w:eastAsia="zh-CN"/>
        </w:rPr>
        <w:t>分别选择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“管理岗位、专业技术岗位”。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）“岗位简介”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左对齐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一般表述为“负责/承担/从事......工作”，内容尽量精炼，原则上不超过30个字。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八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）“招聘人数”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不超过6的阿拉伯数字。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）“学历”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分别选择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“专科及以上、本科及以上、研究生”。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十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）“学位”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分别选择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“无限制、学士及以上、硕士及以上”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原则上与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学历层次相匹配。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（十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）“专业”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（左对齐）：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专业名称要准确、规范，专业要求原则上应从宽设置，一般至少按照一级学科设置，对专业要求较强的岗位可设置3个以上相关相近专业。设置学科门类、一级学科分别按“***学门类、***类”进行表述。分别设置专科、本科和研究生专业的每个层次间要用“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lt+回车键”另起一行。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（十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）“工作经历”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原则上应按照“具有2年及以上相关工作经历”、“具有2年及以上***相关工作经历”等方式表述，不得出现非工作经历表述。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（十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）“其他条件”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（左对齐）：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除学历、学位、专业和工作经历外根据岗位需要设置的其他条件均在</w:t>
      </w:r>
      <w:r>
        <w:rPr>
          <w:rFonts w:hint="eastAsia" w:ascii="Times New Roman" w:hAnsi="Times New Roman" w:eastAsia="仿宋_GB2312" w:cs="Times New Roman"/>
          <w:kern w:val="0"/>
          <w:sz w:val="34"/>
          <w:szCs w:val="34"/>
          <w:lang w:eastAsia="zh-CN"/>
        </w:rPr>
        <w:t>该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设置，具体可设置并统一表述为：</w:t>
      </w:r>
    </w:p>
    <w:p>
      <w:pPr>
        <w:widowControl w:val="0"/>
        <w:wordWrap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1.限应届毕业生报考；</w:t>
      </w:r>
    </w:p>
    <w:p>
      <w:pPr>
        <w:widowControl w:val="0"/>
        <w:wordWrap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2.限***县户籍报考；</w:t>
      </w:r>
    </w:p>
    <w:p>
      <w:pPr>
        <w:widowControl w:val="0"/>
        <w:wordWrap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3.中共党员；</w:t>
      </w:r>
    </w:p>
    <w:p>
      <w:pPr>
        <w:widowControl w:val="0"/>
        <w:wordWrap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4.具有**专业*级及以上专业技术资格；</w:t>
      </w:r>
    </w:p>
    <w:p>
      <w:pPr>
        <w:widowControl w:val="0"/>
        <w:wordWrap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5.年龄不超过30周岁；（对年龄有特殊要求的可设置）</w:t>
      </w:r>
    </w:p>
    <w:p>
      <w:pPr>
        <w:widowControl w:val="0"/>
        <w:wordWrap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6.其他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根据岗位需要设置的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条件。</w:t>
      </w:r>
    </w:p>
    <w:p>
      <w:pPr>
        <w:widowControl w:val="0"/>
        <w:wordWrap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不得设置“全日制”、“双一流”及学校类别等歧视性及与岗位无关的限制性条件，不得出现限定男性、男性优先等字样（国家规定的女职工禁忌劳动范围等情况除外）。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（十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）“招聘方式”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统一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选择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“考试考核”。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（十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）“笔试考试类别”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根据岗位类别和工作职责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选择“A类、B类、C类、D类、E类”，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考试类别与该岗位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不得出现明显的逻辑错误。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（十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）“最低开考比例”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原则上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选择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2:1，乡村振兴重点帮扶县事业单位根据需要可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选择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1.5:1或不设开考比例。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（十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“面试比例”列（居中对齐）：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  <w:lang w:eastAsia="zh-CN"/>
        </w:rPr>
        <w:t>省属事业单位原则上为1:3，市及以下事业单位原则上为1:3或1:2，具体由市级事业单位人事综合管理部门确定。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（十八）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“备注”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左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可根据需要具体明确经费来源、工作地点及特殊工作性质等，不得体现招聘条件类内容。</w:t>
      </w:r>
    </w:p>
    <w:p>
      <w:pPr>
        <w:widowControl w:val="0"/>
        <w:wordWrap/>
        <w:adjustRightInd/>
        <w:snapToGrid/>
        <w:spacing w:line="600" w:lineRule="exact"/>
        <w:ind w:firstLine="682" w:firstLineChars="200"/>
        <w:textAlignment w:val="auto"/>
        <w:rPr>
          <w:rFonts w:hint="default" w:ascii="Times New Roman" w:hAnsi="Times New Roman" w:eastAsia="仿宋_GB2312" w:cs="Times New Roman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（十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）“联系人及联系电话”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  <w:lang w:eastAsia="zh-CN"/>
        </w:rPr>
        <w:t>列</w:t>
      </w:r>
      <w:r>
        <w:rPr>
          <w:rFonts w:hint="default" w:ascii="Times New Roman" w:hAnsi="Times New Roman" w:eastAsia="楷体_GB2312" w:cs="Times New Roman"/>
          <w:b/>
          <w:bCs/>
          <w:kern w:val="0"/>
          <w:sz w:val="34"/>
          <w:szCs w:val="34"/>
        </w:rPr>
        <w:t>（居中对齐）：</w:t>
      </w:r>
      <w:r>
        <w:rPr>
          <w:rFonts w:hint="default" w:ascii="Times New Roman" w:hAnsi="Times New Roman" w:eastAsia="仿宋_GB2312" w:cs="Times New Roman"/>
          <w:kern w:val="0"/>
          <w:sz w:val="34"/>
          <w:szCs w:val="34"/>
        </w:rPr>
        <w:t>填写招聘单位招聘工作人员姓名、固定电话或移动电话，相关信息不得空缺。</w:t>
      </w:r>
    </w:p>
    <w:sectPr>
      <w:footerReference r:id="rId5" w:type="first"/>
      <w:footerReference r:id="rId4" w:type="default"/>
      <w:pgSz w:w="11906" w:h="16838"/>
      <w:pgMar w:top="1757" w:right="1418" w:bottom="1474" w:left="1418" w:header="851" w:footer="794" w:gutter="0"/>
      <w:cols w:space="720" w:num="1"/>
      <w:titlePg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altName w:val="Meiryo UI"/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  <w:jc w:val="center"/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PAGE   \* MERGEFORMAT</w:instrText>
    </w:r>
    <w:r>
      <w:rPr>
        <w:rFonts w:ascii="Times New Roman" w:hAnsi="Times New Roman" w:cs="Times New Roman"/>
        <w:sz w:val="24"/>
      </w:rPr>
      <w:fldChar w:fldCharType="separate"/>
    </w:r>
    <w:r>
      <w:t>2</w:t>
    </w:r>
    <w:r>
      <w:rPr>
        <w:rFonts w:ascii="Times New Roman" w:hAnsi="Times New Roman" w:cs="Times New Roman"/>
        <w:sz w:val="24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 xml:space="preserve">PAGE   \* MERGEFORMAT</w:instrText>
    </w:r>
    <w:r>
      <w:rPr>
        <w:rFonts w:ascii="Times New Roman" w:hAnsi="Times New Roman" w:cs="Times New Roman"/>
        <w:sz w:val="24"/>
      </w:rPr>
      <w:fldChar w:fldCharType="separate"/>
    </w:r>
    <w:r>
      <w:t>1</w:t>
    </w:r>
    <w:r>
      <w:rPr>
        <w:rFonts w:ascii="Times New Roman" w:hAnsi="Times New Roman" w:cs="Times New Roman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character" w:customStyle="1" w:styleId="2">
    <w:name w:val="批注主题 Char"/>
    <w:basedOn w:val="3"/>
    <w:link w:val="6"/>
    <w:semiHidden/>
    <w:rPr>
      <w:b/>
      <w:bCs/>
      <w:kern w:val="2"/>
      <w:sz w:val="21"/>
      <w:szCs w:val="24"/>
    </w:rPr>
  </w:style>
  <w:style w:type="character" w:customStyle="1" w:styleId="3">
    <w:name w:val="批注文字 Char"/>
    <w:basedOn w:val="4"/>
    <w:link w:val="5"/>
    <w:semiHidden/>
    <w:rPr>
      <w:kern w:val="2"/>
      <w:sz w:val="21"/>
      <w:szCs w:val="24"/>
    </w:rPr>
  </w:style>
  <w:style w:type="paragraph" w:styleId="5">
    <w:name w:val="annotation text"/>
    <w:basedOn w:val="1"/>
    <w:link w:val="3"/>
    <w:pPr>
      <w:jc w:val="left"/>
    </w:pPr>
    <w:rPr>
      <w:kern w:val="2"/>
      <w:sz w:val="21"/>
      <w:szCs w:val="24"/>
    </w:rPr>
  </w:style>
  <w:style w:type="paragraph" w:customStyle="1" w:styleId="6">
    <w:name w:val="annotation subject"/>
    <w:basedOn w:val="5"/>
    <w:next w:val="5"/>
    <w:link w:val="2"/>
    <w:rPr>
      <w:b/>
      <w:bCs/>
      <w:kern w:val="2"/>
      <w:sz w:val="21"/>
      <w:szCs w:val="24"/>
    </w:rPr>
  </w:style>
  <w:style w:type="character" w:customStyle="1" w:styleId="7">
    <w:name w:val="日期 Char"/>
    <w:basedOn w:val="4"/>
    <w:link w:val="8"/>
    <w:semiHidden/>
    <w:rPr>
      <w:rFonts w:ascii="Calibri" w:hAnsi="Calibri" w:cs="黑体"/>
      <w:kern w:val="2"/>
      <w:sz w:val="21"/>
      <w:szCs w:val="24"/>
    </w:rPr>
  </w:style>
  <w:style w:type="paragraph" w:customStyle="1" w:styleId="8">
    <w:name w:val="Date"/>
    <w:basedOn w:val="1"/>
    <w:next w:val="1"/>
    <w:link w:val="7"/>
    <w:pPr>
      <w:ind w:left="100" w:leftChars="2500"/>
    </w:pPr>
    <w:rPr>
      <w:rFonts w:ascii="Calibri" w:hAnsi="Calibri" w:cs="黑体"/>
      <w:kern w:val="2"/>
      <w:sz w:val="21"/>
      <w:szCs w:val="24"/>
    </w:rPr>
  </w:style>
  <w:style w:type="paragraph" w:styleId="9">
    <w:name w:val="批注框文本"/>
    <w:basedOn w:val="1"/>
    <w:link w:val="1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4"/>
    <w:link w:val="9"/>
    <w:semiHidden/>
    <w:rPr>
      <w:rFonts w:ascii="Calibri" w:hAnsi="Calibri" w:cs="黑体"/>
      <w:kern w:val="2"/>
      <w:sz w:val="18"/>
      <w:szCs w:val="18"/>
    </w:rPr>
  </w:style>
  <w:style w:type="paragraph" w:styleId="11">
    <w:name w:val="footer"/>
    <w:basedOn w:val="1"/>
    <w:next w:val="12"/>
    <w:link w:val="13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kern w:val="2"/>
      <w:sz w:val="18"/>
      <w:szCs w:val="24"/>
    </w:rPr>
  </w:style>
  <w:style w:type="paragraph" w:customStyle="1" w:styleId="12">
    <w:name w:val="index 5"/>
    <w:basedOn w:val="1"/>
    <w:next w:val="1"/>
    <w:pPr>
      <w:ind w:left="1680"/>
    </w:pPr>
  </w:style>
  <w:style w:type="character" w:customStyle="1" w:styleId="13">
    <w:name w:val="页脚 Char"/>
    <w:basedOn w:val="4"/>
    <w:link w:val="11"/>
    <w:semiHidden/>
    <w:rPr>
      <w:rFonts w:ascii="Calibri" w:hAnsi="Calibri" w:cs="黑体"/>
      <w:kern w:val="2"/>
      <w:sz w:val="18"/>
      <w:szCs w:val="24"/>
    </w:rPr>
  </w:style>
  <w:style w:type="paragraph" w:styleId="14">
    <w:name w:val="header"/>
    <w:basedOn w:val="1"/>
    <w:link w:val="15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kern w:val="2"/>
      <w:sz w:val="18"/>
      <w:szCs w:val="18"/>
    </w:rPr>
  </w:style>
  <w:style w:type="character" w:customStyle="1" w:styleId="15">
    <w:name w:val="页眉 Char"/>
    <w:basedOn w:val="4"/>
    <w:link w:val="14"/>
    <w:semiHidden/>
    <w:rPr>
      <w:rFonts w:ascii="Calibri" w:hAnsi="Calibri" w:cs="黑体"/>
      <w:kern w:val="2"/>
      <w:sz w:val="18"/>
      <w:szCs w:val="18"/>
    </w:rPr>
  </w:style>
  <w:style w:type="character" w:styleId="16">
    <w:name w:val="Hyperlink"/>
    <w:basedOn w:val="4"/>
    <w:rPr>
      <w:color w:val="0000FF"/>
      <w:u w:val="single"/>
    </w:rPr>
  </w:style>
  <w:style w:type="paragraph" w:customStyle="1" w:styleId="17">
    <w:name w:val="Normal (Web)"/>
    <w:basedOn w:val="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8">
    <w:name w:val="List Paragraph"/>
    <w:basedOn w:val="1"/>
    <w:pPr>
      <w:ind w:firstLine="420" w:firstLineChars="200"/>
    </w:pPr>
    <w:rPr>
      <w:rFonts w:cs="Times New Roman"/>
      <w:szCs w:val="22"/>
    </w:rPr>
  </w:style>
  <w:style w:type="paragraph" w:customStyle="1" w:styleId="19">
    <w:name w:val="Body text|1"/>
    <w:basedOn w:val="1"/>
    <w:pPr>
      <w:spacing w:line="437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20">
    <w:name w:val="p0"/>
    <w:basedOn w:val="1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21">
    <w:name w:val="annotation reference"/>
    <w:basedOn w:val="4"/>
    <w:rPr>
      <w:sz w:val="21"/>
      <w:szCs w:val="21"/>
    </w:rPr>
  </w:style>
  <w:style w:type="character" w:customStyle="1" w:styleId="22">
    <w:name w:val="font41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11"/>
    <w:rPr>
      <w:rFonts w:hint="eastAsia" w:ascii="方正小标宋简体" w:hAnsi="方正小标宋简体" w:eastAsia="方正小标宋简体" w:cs="方正小标宋简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851</Words>
  <Characters>4851</Characters>
  <Lines>40</Lines>
  <Paragraphs>11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2022-06-24T09:28:00Z</dcterms:created>
  <dc:creator>ASUS</dc:creator>
  <cp:lastPrinted>2023-12-13T16:17:49Z</cp:lastPrinted>
  <dcterms:modified xsi:type="dcterms:W3CDTF">2023-12-13T16:17:53Z</dcterms:modified>
  <dc:title>user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24281352EEEE4BD886EC296FFF4E2408</vt:lpwstr>
  </property>
</Properties>
</file>