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交投集团所属运营公司桃仙分公司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拟聘用人员公示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  <w:t>交投集团所属运营公司桃仙分公司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</w:rPr>
        <w:t>招聘公告》有关规定，经过资格审核、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  <w:t>笔试、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</w:rPr>
        <w:t>面试、体检、考察等程序，确定以下人员为辽宁省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  <w:t>高速公路运营管理有限责任公司桃仙分公司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</w:rPr>
        <w:t>拟聘用人员，现予以公示。公示期间如有问题，请向辽宁省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  <w:t>高速公路运营管理有限责任公司桃仙分公司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</w:rPr>
        <w:t>致电反映。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</w:rPr>
        <w:t>公示时间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</w:rPr>
        <w:t>5 个工作日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</w:rPr>
        <w:t>监督电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</w:rPr>
        <w:t>话：024-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val="en-US" w:eastAsia="zh-CN"/>
        </w:rPr>
        <w:t>82362027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829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8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31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收费人员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张哲祎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收费人员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宛俊廷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收费人员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杜雨晴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收费人员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42225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迟雨涵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3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3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</w:rPr>
        <w:t>辽宁省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  <w:t>高速公路运营管理有限责任公司桃仙分公司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val="en-US" w:eastAsia="zh-CN"/>
        </w:rPr>
        <w:t xml:space="preserve">    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242225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240" w:right="1486" w:bottom="97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NjE4NzY4MDkzOTY3ZDNhM2Y3YzMzZDIyODQ3NTcifQ=="/>
  </w:docVars>
  <w:rsids>
    <w:rsidRoot w:val="772E304A"/>
    <w:rsid w:val="02695055"/>
    <w:rsid w:val="19E6301F"/>
    <w:rsid w:val="1A9F061F"/>
    <w:rsid w:val="212209C2"/>
    <w:rsid w:val="22D21AE7"/>
    <w:rsid w:val="24C32F91"/>
    <w:rsid w:val="2D5B157A"/>
    <w:rsid w:val="41286F75"/>
    <w:rsid w:val="4FBB787D"/>
    <w:rsid w:val="60376E12"/>
    <w:rsid w:val="772E304A"/>
    <w:rsid w:val="7CB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349</Characters>
  <Lines>0</Lines>
  <Paragraphs>0</Paragraphs>
  <TotalTime>2</TotalTime>
  <ScaleCrop>false</ScaleCrop>
  <LinksUpToDate>false</LinksUpToDate>
  <CharactersWithSpaces>391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2023-03-13T02:10:00Z</dcterms:created>
  <dc:creator>轻风</dc:creator>
  <cp:lastModifiedBy>盛夏转角</cp:lastModifiedBy>
  <dcterms:modified xsi:type="dcterms:W3CDTF">2023-12-26T08:43:40Z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3E9592BE7CD846FB95837D1ABBA490A8_13</vt:lpwstr>
  </property>
</Properties>
</file>