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textAlignment w:val="baseline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71" w:line="600" w:lineRule="exact"/>
        <w:ind w:left="782" w:right="765" w:firstLine="261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4"/>
          <w:sz w:val="44"/>
          <w:szCs w:val="44"/>
        </w:rPr>
        <w:t>国家综合性消防救援队伍消防员招</w:t>
      </w: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</w:rPr>
        <w:t>录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</w:rPr>
        <w:t>体能测试</w:t>
      </w:r>
      <w:r>
        <w:rPr>
          <w:rFonts w:hint="eastAsia" w:ascii="方正小标宋简体" w:hAnsi="方正小标宋简体" w:eastAsia="方正小标宋简体" w:cs="方正小标宋简体"/>
          <w:spacing w:val="-1"/>
          <w:sz w:val="44"/>
          <w:szCs w:val="44"/>
        </w:rPr>
        <w:t>、岗位适应性测试项目及标准</w:t>
      </w:r>
    </w:p>
    <w:p>
      <w:pPr>
        <w:spacing w:line="109" w:lineRule="exact"/>
      </w:pPr>
    </w:p>
    <w:tbl>
      <w:tblPr>
        <w:tblStyle w:val="4"/>
        <w:tblW w:w="8974" w:type="dxa"/>
        <w:tblInd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3"/>
        <w:gridCol w:w="1624"/>
        <w:gridCol w:w="4045"/>
        <w:gridCol w:w="677"/>
        <w:gridCol w:w="677"/>
        <w:gridCol w:w="677"/>
        <w:gridCol w:w="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8974" w:type="dxa"/>
            <w:gridSpan w:val="7"/>
            <w:vAlign w:val="top"/>
          </w:tcPr>
          <w:p>
            <w:pPr>
              <w:spacing w:before="234" w:line="227" w:lineRule="auto"/>
              <w:ind w:left="252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黑体" w:hAnsi="黑体" w:eastAsia="黑体" w:cs="黑体"/>
                <w:spacing w:val="16"/>
                <w:sz w:val="32"/>
                <w:szCs w:val="32"/>
                <w:lang w:val="en-US" w:eastAsia="zh-CN"/>
              </w:rPr>
              <w:t>一</w:t>
            </w:r>
            <w:r>
              <w:rPr>
                <w:rFonts w:hint="eastAsia" w:ascii="黑体" w:hAnsi="黑体" w:eastAsia="黑体" w:cs="黑体"/>
                <w:spacing w:val="10"/>
                <w:sz w:val="32"/>
                <w:szCs w:val="32"/>
              </w:rPr>
              <w:t>、</w:t>
            </w:r>
            <w:r>
              <w:rPr>
                <w:rFonts w:hint="eastAsia" w:ascii="黑体" w:hAnsi="黑体" w:eastAsia="黑体" w:cs="黑体"/>
                <w:spacing w:val="8"/>
                <w:sz w:val="32"/>
                <w:szCs w:val="32"/>
              </w:rPr>
              <w:t>岗位适应性测试项目和标准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2207" w:type="dxa"/>
            <w:gridSpan w:val="2"/>
            <w:vAlign w:val="top"/>
          </w:tcPr>
          <w:p>
            <w:pPr>
              <w:spacing w:before="246" w:line="222" w:lineRule="auto"/>
              <w:ind w:left="77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8"/>
                <w:sz w:val="21"/>
                <w:szCs w:val="21"/>
              </w:rPr>
              <w:t>项</w:t>
            </w: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 xml:space="preserve">  目</w:t>
            </w:r>
          </w:p>
        </w:tc>
        <w:tc>
          <w:tcPr>
            <w:tcW w:w="4045" w:type="dxa"/>
            <w:vAlign w:val="top"/>
          </w:tcPr>
          <w:p>
            <w:pPr>
              <w:spacing w:before="246" w:line="221" w:lineRule="auto"/>
              <w:ind w:left="160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测</w:t>
            </w: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试办法</w:t>
            </w:r>
          </w:p>
        </w:tc>
        <w:tc>
          <w:tcPr>
            <w:tcW w:w="677" w:type="dxa"/>
            <w:vAlign w:val="top"/>
          </w:tcPr>
          <w:p>
            <w:pPr>
              <w:spacing w:before="246" w:line="222" w:lineRule="auto"/>
              <w:ind w:left="13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优秀</w:t>
            </w:r>
          </w:p>
        </w:tc>
        <w:tc>
          <w:tcPr>
            <w:tcW w:w="677" w:type="dxa"/>
            <w:vAlign w:val="top"/>
          </w:tcPr>
          <w:p>
            <w:pPr>
              <w:spacing w:before="246" w:line="222" w:lineRule="auto"/>
              <w:ind w:left="16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0"/>
                <w:sz w:val="21"/>
                <w:szCs w:val="21"/>
              </w:rPr>
              <w:t>良</w:t>
            </w:r>
            <w:r>
              <w:rPr>
                <w:rFonts w:ascii="黑体" w:hAnsi="黑体" w:eastAsia="黑体" w:cs="黑体"/>
                <w:spacing w:val="-8"/>
                <w:sz w:val="21"/>
                <w:szCs w:val="21"/>
              </w:rPr>
              <w:t>好</w:t>
            </w:r>
          </w:p>
        </w:tc>
        <w:tc>
          <w:tcPr>
            <w:tcW w:w="677" w:type="dxa"/>
            <w:vAlign w:val="top"/>
          </w:tcPr>
          <w:p>
            <w:pPr>
              <w:spacing w:before="246" w:line="223" w:lineRule="auto"/>
              <w:ind w:left="16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7"/>
                <w:sz w:val="21"/>
                <w:szCs w:val="21"/>
              </w:rPr>
              <w:t>中</w:t>
            </w: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等</w:t>
            </w:r>
          </w:p>
        </w:tc>
        <w:tc>
          <w:tcPr>
            <w:tcW w:w="691" w:type="dxa"/>
            <w:vAlign w:val="top"/>
          </w:tcPr>
          <w:p>
            <w:pPr>
              <w:spacing w:before="246" w:line="221" w:lineRule="auto"/>
              <w:ind w:left="14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atLeast"/>
        </w:trPr>
        <w:tc>
          <w:tcPr>
            <w:tcW w:w="583" w:type="dxa"/>
            <w:vMerge w:val="restart"/>
            <w:textDirection w:val="tbRlV"/>
            <w:vAlign w:val="top"/>
          </w:tcPr>
          <w:p>
            <w:pPr>
              <w:spacing w:before="223" w:line="206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24"/>
                <w:sz w:val="21"/>
                <w:szCs w:val="21"/>
                <w:lang w:val="en-US" w:eastAsia="zh-CN"/>
              </w:rPr>
              <w:t>消防员、驾驶员</w:t>
            </w:r>
          </w:p>
        </w:tc>
        <w:tc>
          <w:tcPr>
            <w:tcW w:w="1624" w:type="dxa"/>
            <w:vAlign w:val="center"/>
          </w:tcPr>
          <w:p>
            <w:pPr>
              <w:spacing w:before="69" w:line="221" w:lineRule="auto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负重登</w:t>
            </w: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六楼</w:t>
            </w:r>
          </w:p>
        </w:tc>
        <w:tc>
          <w:tcPr>
            <w:tcW w:w="4045" w:type="dxa"/>
            <w:vAlign w:val="center"/>
          </w:tcPr>
          <w:p>
            <w:pPr>
              <w:spacing w:before="68" w:line="249" w:lineRule="auto"/>
              <w:ind w:right="97" w:firstLine="424" w:firstLineChars="200"/>
              <w:jc w:val="both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考生佩戴消防头</w:t>
            </w:r>
            <w:r>
              <w:rPr>
                <w:rFonts w:ascii="仿宋" w:hAnsi="仿宋" w:eastAsia="仿宋" w:cs="仿宋"/>
                <w:sz w:val="21"/>
                <w:szCs w:val="21"/>
              </w:rPr>
              <w:t>盔及消防安全腰带，</w:t>
            </w:r>
            <w:r>
              <w:rPr>
                <w:rFonts w:ascii="仿宋" w:hAnsi="仿宋" w:eastAsia="仿宋" w:cs="仿宋"/>
                <w:spacing w:val="-18"/>
                <w:sz w:val="21"/>
                <w:szCs w:val="21"/>
              </w:rPr>
              <w:t>手</w:t>
            </w:r>
            <w:r>
              <w:rPr>
                <w:rFonts w:ascii="仿宋" w:hAnsi="仿宋" w:eastAsia="仿宋" w:cs="仿宋"/>
                <w:spacing w:val="-13"/>
                <w:sz w:val="21"/>
                <w:szCs w:val="21"/>
              </w:rPr>
              <w:t>提</w:t>
            </w:r>
            <w:r>
              <w:rPr>
                <w:rFonts w:ascii="仿宋" w:hAnsi="仿宋" w:eastAsia="仿宋" w:cs="仿宋"/>
                <w:spacing w:val="-9"/>
                <w:sz w:val="21"/>
                <w:szCs w:val="21"/>
              </w:rPr>
              <w:t>两盘</w:t>
            </w: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65</w:t>
            </w:r>
            <w:r>
              <w:rPr>
                <w:rFonts w:ascii="仿宋" w:hAnsi="仿宋" w:eastAsia="仿宋" w:cs="仿宋"/>
                <w:spacing w:val="-9"/>
                <w:sz w:val="21"/>
                <w:szCs w:val="21"/>
              </w:rPr>
              <w:t>毫米口径水带，从一楼楼梯口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登至六</w:t>
            </w: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楼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楼梯口。记录时间。</w:t>
            </w:r>
          </w:p>
        </w:tc>
        <w:tc>
          <w:tcPr>
            <w:tcW w:w="677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before="60" w:line="188" w:lineRule="auto"/>
              <w:ind w:lef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′</w:t>
            </w: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15″</w:t>
            </w:r>
          </w:p>
        </w:tc>
        <w:tc>
          <w:tcPr>
            <w:tcW w:w="677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before="60" w:line="188" w:lineRule="auto"/>
              <w:ind w:left="14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′</w:t>
            </w: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30″</w:t>
            </w:r>
          </w:p>
        </w:tc>
        <w:tc>
          <w:tcPr>
            <w:tcW w:w="677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before="60" w:line="188" w:lineRule="auto"/>
              <w:ind w:left="14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′40″</w:t>
            </w:r>
          </w:p>
        </w:tc>
        <w:tc>
          <w:tcPr>
            <w:tcW w:w="691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before="60" w:line="188" w:lineRule="auto"/>
              <w:ind w:left="14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′50″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1" w:hRule="atLeast"/>
        </w:trPr>
        <w:tc>
          <w:tcPr>
            <w:tcW w:w="583" w:type="dxa"/>
            <w:vMerge w:val="continue"/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before="68" w:line="255" w:lineRule="auto"/>
              <w:ind w:right="152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原地攀登</w:t>
            </w: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六米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拉</w:t>
            </w: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梯</w:t>
            </w:r>
          </w:p>
        </w:tc>
        <w:tc>
          <w:tcPr>
            <w:tcW w:w="4045" w:type="dxa"/>
            <w:vAlign w:val="top"/>
          </w:tcPr>
          <w:p>
            <w:pPr>
              <w:spacing w:before="284" w:line="247" w:lineRule="auto"/>
              <w:ind w:right="98" w:firstLine="408" w:firstLineChars="20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考生穿着全套消防员防护装具，扣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好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安全绳，从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原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地逐级攀登架设在训练塔窗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口的六米拉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梯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，并进入二楼平台。记录时</w:t>
            </w:r>
            <w:r>
              <w:rPr>
                <w:rFonts w:ascii="仿宋" w:hAnsi="仿宋" w:eastAsia="仿宋" w:cs="仿宋"/>
                <w:spacing w:val="-14"/>
                <w:sz w:val="21"/>
                <w:szCs w:val="21"/>
              </w:rPr>
              <w:t>间。</w:t>
            </w:r>
          </w:p>
        </w:tc>
        <w:tc>
          <w:tcPr>
            <w:tcW w:w="677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before="61" w:line="188" w:lineRule="auto"/>
              <w:ind w:left="21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0″</w:t>
            </w:r>
          </w:p>
        </w:tc>
        <w:tc>
          <w:tcPr>
            <w:tcW w:w="677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before="61" w:line="188" w:lineRule="auto"/>
              <w:ind w:left="21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5″</w:t>
            </w:r>
          </w:p>
        </w:tc>
        <w:tc>
          <w:tcPr>
            <w:tcW w:w="677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before="61" w:line="188" w:lineRule="auto"/>
              <w:ind w:left="20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20″</w:t>
            </w:r>
          </w:p>
        </w:tc>
        <w:tc>
          <w:tcPr>
            <w:tcW w:w="691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before="61" w:line="188" w:lineRule="auto"/>
              <w:ind w:left="20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25″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7" w:hRule="atLeast"/>
        </w:trPr>
        <w:tc>
          <w:tcPr>
            <w:tcW w:w="583" w:type="dxa"/>
            <w:vMerge w:val="continue"/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before="68" w:line="222" w:lineRule="auto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黑</w:t>
            </w: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暗环境搜寻</w:t>
            </w:r>
          </w:p>
        </w:tc>
        <w:tc>
          <w:tcPr>
            <w:tcW w:w="4045" w:type="dxa"/>
            <w:vAlign w:val="center"/>
          </w:tcPr>
          <w:p>
            <w:pPr>
              <w:spacing w:before="69" w:line="246" w:lineRule="auto"/>
              <w:ind w:right="97"/>
              <w:jc w:val="both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考生穿着全套消防员防护装具，从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长</w:t>
            </w:r>
            <w:r>
              <w:rPr>
                <w:rFonts w:ascii="仿宋" w:hAnsi="仿宋" w:eastAsia="仿宋" w:cs="仿宋"/>
                <w:spacing w:val="-14"/>
                <w:sz w:val="21"/>
                <w:szCs w:val="21"/>
              </w:rPr>
              <w:t>度为</w:t>
            </w: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</w:rPr>
              <w:t>20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米的封闭式</w:t>
            </w: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</w:rPr>
              <w:t>L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型通道一侧进入，以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双手双膝匍匐前进的姿势从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L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型通道另一</w:t>
            </w: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侧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穿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出。记录时间。</w:t>
            </w:r>
          </w:p>
        </w:tc>
        <w:tc>
          <w:tcPr>
            <w:tcW w:w="677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61" w:line="188" w:lineRule="auto"/>
              <w:ind w:left="20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38″</w:t>
            </w:r>
          </w:p>
        </w:tc>
        <w:tc>
          <w:tcPr>
            <w:tcW w:w="677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61" w:line="188" w:lineRule="auto"/>
              <w:ind w:left="19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″</w:t>
            </w:r>
          </w:p>
        </w:tc>
        <w:tc>
          <w:tcPr>
            <w:tcW w:w="677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60" w:line="189" w:lineRule="auto"/>
              <w:ind w:left="20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″</w:t>
            </w:r>
          </w:p>
        </w:tc>
        <w:tc>
          <w:tcPr>
            <w:tcW w:w="691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61" w:line="188" w:lineRule="auto"/>
              <w:ind w:left="20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45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9" w:hRule="atLeast"/>
        </w:trPr>
        <w:tc>
          <w:tcPr>
            <w:tcW w:w="583" w:type="dxa"/>
            <w:vMerge w:val="continue"/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before="68" w:line="220" w:lineRule="auto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拖拽</w:t>
            </w:r>
          </w:p>
        </w:tc>
        <w:tc>
          <w:tcPr>
            <w:tcW w:w="4045" w:type="dxa"/>
            <w:vAlign w:val="center"/>
          </w:tcPr>
          <w:p>
            <w:pPr>
              <w:spacing w:before="68" w:line="247" w:lineRule="auto"/>
              <w:ind w:right="97" w:firstLine="424" w:firstLineChars="200"/>
              <w:jc w:val="both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考生佩戴消防头</w:t>
            </w:r>
            <w:r>
              <w:rPr>
                <w:rFonts w:ascii="仿宋" w:hAnsi="仿宋" w:eastAsia="仿宋" w:cs="仿宋"/>
                <w:sz w:val="21"/>
                <w:szCs w:val="21"/>
              </w:rPr>
              <w:t>盔及消防安全腰带，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将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60</w:t>
            </w:r>
            <w:r>
              <w:rPr>
                <w:rFonts w:ascii="仿宋" w:hAnsi="仿宋" w:eastAsia="仿宋" w:cs="仿宋"/>
                <w:sz w:val="21"/>
                <w:szCs w:val="21"/>
              </w:rPr>
              <w:t>公斤重的假人从起点线拖拽至距离起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点线</w:t>
            </w: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10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米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处的终点线(假人整体越过终点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线</w:t>
            </w: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)。记录时间。</w:t>
            </w:r>
          </w:p>
        </w:tc>
        <w:tc>
          <w:tcPr>
            <w:tcW w:w="677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spacing w:before="60" w:line="189" w:lineRule="auto"/>
              <w:ind w:left="21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2″</w:t>
            </w:r>
          </w:p>
        </w:tc>
        <w:tc>
          <w:tcPr>
            <w:tcW w:w="677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spacing w:before="60" w:line="188" w:lineRule="auto"/>
              <w:ind w:left="21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3″</w:t>
            </w:r>
          </w:p>
        </w:tc>
        <w:tc>
          <w:tcPr>
            <w:tcW w:w="677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spacing w:before="60" w:line="189" w:lineRule="auto"/>
              <w:ind w:left="2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4″</w:t>
            </w:r>
          </w:p>
        </w:tc>
        <w:tc>
          <w:tcPr>
            <w:tcW w:w="691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spacing w:before="60" w:line="188" w:lineRule="auto"/>
              <w:ind w:left="2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5″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2207" w:type="dxa"/>
            <w:gridSpan w:val="2"/>
            <w:vAlign w:val="center"/>
          </w:tcPr>
          <w:p>
            <w:pPr>
              <w:spacing w:before="68" w:line="222" w:lineRule="auto"/>
              <w:ind w:left="245"/>
              <w:jc w:val="center"/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项  目</w:t>
            </w:r>
          </w:p>
        </w:tc>
        <w:tc>
          <w:tcPr>
            <w:tcW w:w="4045" w:type="dxa"/>
            <w:vAlign w:val="center"/>
          </w:tcPr>
          <w:p>
            <w:pPr>
              <w:spacing w:before="69" w:line="253" w:lineRule="auto"/>
              <w:ind w:right="34" w:firstLine="424" w:firstLineChars="200"/>
              <w:jc w:val="center"/>
              <w:rPr>
                <w:rFonts w:hint="eastAsia" w:ascii="黑体" w:hAnsi="黑体" w:eastAsia="黑体" w:cs="黑体"/>
                <w:spacing w:val="1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1"/>
                <w:sz w:val="21"/>
                <w:szCs w:val="21"/>
              </w:rPr>
              <w:t>测试办法</w:t>
            </w:r>
          </w:p>
        </w:tc>
        <w:tc>
          <w:tcPr>
            <w:tcW w:w="1354" w:type="dxa"/>
            <w:gridSpan w:val="2"/>
            <w:vAlign w:val="center"/>
          </w:tcPr>
          <w:p>
            <w:pPr>
              <w:spacing w:before="60" w:line="188" w:lineRule="auto"/>
              <w:ind w:left="143"/>
              <w:jc w:val="center"/>
              <w:rPr>
                <w:rFonts w:hint="eastAsia" w:ascii="Times New Roman" w:hAnsi="Times New Roman" w:eastAsia="宋体" w:cs="Times New Roman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6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1368" w:type="dxa"/>
            <w:gridSpan w:val="2"/>
            <w:vAlign w:val="center"/>
          </w:tcPr>
          <w:p>
            <w:pPr>
              <w:spacing w:before="60" w:line="188" w:lineRule="auto"/>
              <w:ind w:left="147"/>
              <w:jc w:val="center"/>
              <w:rPr>
                <w:rFonts w:hint="eastAsia" w:ascii="Times New Roman" w:hAnsi="Times New Roman" w:eastAsia="宋体" w:cs="Times New Roman"/>
                <w:spacing w:val="-7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7"/>
                <w:sz w:val="21"/>
                <w:szCs w:val="21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5" w:hRule="atLeast"/>
        </w:trPr>
        <w:tc>
          <w:tcPr>
            <w:tcW w:w="583" w:type="dxa"/>
            <w:vMerge w:val="restart"/>
            <w:textDirection w:val="tbRlV"/>
            <w:vAlign w:val="top"/>
          </w:tcPr>
          <w:p>
            <w:pPr>
              <w:spacing w:before="222" w:line="206" w:lineRule="auto"/>
              <w:ind w:left="1426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24"/>
                <w:sz w:val="21"/>
                <w:szCs w:val="21"/>
                <w:lang w:val="en-US" w:eastAsia="zh-CN"/>
              </w:rPr>
              <w:t>驾驶员</w:t>
            </w:r>
          </w:p>
        </w:tc>
        <w:tc>
          <w:tcPr>
            <w:tcW w:w="1624" w:type="dxa"/>
            <w:vAlign w:val="center"/>
          </w:tcPr>
          <w:p>
            <w:pPr>
              <w:spacing w:before="69" w:line="253" w:lineRule="auto"/>
              <w:ind w:right="34"/>
              <w:jc w:val="center"/>
              <w:rPr>
                <w:rFonts w:hint="eastAsia" w:ascii="黑体" w:hAnsi="黑体" w:eastAsia="黑体" w:cs="黑体"/>
                <w:spacing w:val="1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1"/>
                <w:sz w:val="21"/>
                <w:szCs w:val="21"/>
              </w:rPr>
              <w:t>倒车入库</w:t>
            </w:r>
          </w:p>
        </w:tc>
        <w:tc>
          <w:tcPr>
            <w:tcW w:w="4045" w:type="dxa"/>
            <w:vAlign w:val="center"/>
          </w:tcPr>
          <w:p>
            <w:pPr>
              <w:spacing w:before="69" w:line="253" w:lineRule="auto"/>
              <w:ind w:right="34" w:firstLine="424" w:firstLineChars="200"/>
              <w:jc w:val="both"/>
              <w:rPr>
                <w:rFonts w:hint="eastAsia" w:ascii="仿宋" w:hAnsi="仿宋" w:eastAsia="仿宋" w:cs="仿宋"/>
                <w:spacing w:val="1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1"/>
                <w:sz w:val="21"/>
                <w:szCs w:val="21"/>
              </w:rPr>
              <w:t>考生驾驶消防车，按照倒车入库操作方法进行测试，每人两次机会，倒车入库过程中不能停车、不能碰线。</w:t>
            </w:r>
          </w:p>
        </w:tc>
        <w:tc>
          <w:tcPr>
            <w:tcW w:w="1354" w:type="dxa"/>
            <w:gridSpan w:val="2"/>
            <w:vAlign w:val="center"/>
          </w:tcPr>
          <w:p>
            <w:pPr>
              <w:spacing w:before="69" w:line="253" w:lineRule="auto"/>
              <w:ind w:right="34"/>
              <w:jc w:val="center"/>
              <w:rPr>
                <w:rFonts w:hint="eastAsia" w:ascii="黑体" w:hAnsi="黑体" w:eastAsia="黑体" w:cs="黑体"/>
                <w:spacing w:val="1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1"/>
                <w:sz w:val="21"/>
                <w:szCs w:val="21"/>
              </w:rPr>
              <w:t>未停车</w:t>
            </w:r>
          </w:p>
          <w:p>
            <w:pPr>
              <w:spacing w:before="69" w:line="253" w:lineRule="auto"/>
              <w:ind w:right="34"/>
              <w:jc w:val="center"/>
              <w:rPr>
                <w:rFonts w:hint="eastAsia" w:ascii="黑体" w:hAnsi="黑体" w:eastAsia="黑体" w:cs="黑体"/>
                <w:spacing w:val="1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1"/>
                <w:sz w:val="21"/>
                <w:szCs w:val="21"/>
              </w:rPr>
              <w:t>未碰线</w:t>
            </w:r>
          </w:p>
        </w:tc>
        <w:tc>
          <w:tcPr>
            <w:tcW w:w="1368" w:type="dxa"/>
            <w:gridSpan w:val="2"/>
            <w:vAlign w:val="center"/>
          </w:tcPr>
          <w:p>
            <w:pPr>
              <w:spacing w:before="69" w:line="253" w:lineRule="auto"/>
              <w:ind w:right="34"/>
              <w:jc w:val="center"/>
              <w:rPr>
                <w:rFonts w:hint="eastAsia" w:ascii="黑体" w:hAnsi="黑体" w:eastAsia="黑体" w:cs="黑体"/>
                <w:spacing w:val="1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1"/>
                <w:sz w:val="21"/>
                <w:szCs w:val="21"/>
              </w:rPr>
              <w:t>两次机会</w:t>
            </w:r>
          </w:p>
          <w:p>
            <w:pPr>
              <w:spacing w:before="69" w:line="253" w:lineRule="auto"/>
              <w:ind w:right="34"/>
              <w:jc w:val="center"/>
              <w:rPr>
                <w:rFonts w:hint="eastAsia" w:ascii="黑体" w:hAnsi="黑体" w:eastAsia="黑体" w:cs="黑体"/>
                <w:spacing w:val="1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1"/>
                <w:sz w:val="21"/>
                <w:szCs w:val="21"/>
              </w:rPr>
              <w:t>均未达标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9" w:hRule="atLeast"/>
        </w:trPr>
        <w:tc>
          <w:tcPr>
            <w:tcW w:w="583" w:type="dxa"/>
            <w:vMerge w:val="continue"/>
            <w:textDirection w:val="tbRlV"/>
            <w:vAlign w:val="top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before="69" w:line="253" w:lineRule="auto"/>
              <w:ind w:right="34"/>
              <w:jc w:val="center"/>
              <w:rPr>
                <w:rFonts w:hint="eastAsia" w:ascii="黑体" w:hAnsi="黑体" w:eastAsia="黑体" w:cs="黑体"/>
                <w:spacing w:val="1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1"/>
                <w:sz w:val="21"/>
                <w:szCs w:val="21"/>
              </w:rPr>
              <w:t>S形曲线弯道</w:t>
            </w:r>
          </w:p>
        </w:tc>
        <w:tc>
          <w:tcPr>
            <w:tcW w:w="4045" w:type="dxa"/>
            <w:vAlign w:val="center"/>
          </w:tcPr>
          <w:p>
            <w:pPr>
              <w:spacing w:before="69" w:line="253" w:lineRule="auto"/>
              <w:ind w:right="34" w:firstLine="424" w:firstLineChars="200"/>
              <w:jc w:val="both"/>
              <w:rPr>
                <w:rFonts w:hint="eastAsia" w:ascii="仿宋" w:hAnsi="仿宋" w:eastAsia="仿宋" w:cs="仿宋"/>
                <w:spacing w:val="1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1"/>
                <w:sz w:val="21"/>
                <w:szCs w:val="21"/>
              </w:rPr>
              <w:t>考生驾驶消防车，按照S形曲线弯道操作方法进行测试，每人两次机会，S形曲线弯道驾驶过程中不能停车、不能碰线。</w:t>
            </w:r>
          </w:p>
        </w:tc>
        <w:tc>
          <w:tcPr>
            <w:tcW w:w="1354" w:type="dxa"/>
            <w:gridSpan w:val="2"/>
            <w:vAlign w:val="center"/>
          </w:tcPr>
          <w:p>
            <w:pPr>
              <w:spacing w:before="69" w:line="253" w:lineRule="auto"/>
              <w:ind w:right="34"/>
              <w:jc w:val="center"/>
              <w:rPr>
                <w:rFonts w:hint="eastAsia" w:ascii="黑体" w:hAnsi="黑体" w:eastAsia="黑体" w:cs="黑体"/>
                <w:spacing w:val="1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1"/>
                <w:sz w:val="21"/>
                <w:szCs w:val="21"/>
              </w:rPr>
              <w:t>未停车</w:t>
            </w:r>
          </w:p>
          <w:p>
            <w:pPr>
              <w:spacing w:before="69" w:line="253" w:lineRule="auto"/>
              <w:ind w:right="34"/>
              <w:jc w:val="center"/>
              <w:rPr>
                <w:rFonts w:hint="eastAsia" w:ascii="黑体" w:hAnsi="黑体" w:eastAsia="黑体" w:cs="黑体"/>
                <w:spacing w:val="1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1"/>
                <w:sz w:val="21"/>
                <w:szCs w:val="21"/>
              </w:rPr>
              <w:t>未碰线</w:t>
            </w:r>
          </w:p>
        </w:tc>
        <w:tc>
          <w:tcPr>
            <w:tcW w:w="1368" w:type="dxa"/>
            <w:gridSpan w:val="2"/>
            <w:vAlign w:val="center"/>
          </w:tcPr>
          <w:p>
            <w:pPr>
              <w:spacing w:before="69" w:line="253" w:lineRule="auto"/>
              <w:ind w:right="34"/>
              <w:jc w:val="center"/>
              <w:rPr>
                <w:rFonts w:hint="eastAsia" w:ascii="黑体" w:hAnsi="黑体" w:eastAsia="黑体" w:cs="黑体"/>
                <w:spacing w:val="1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1"/>
                <w:sz w:val="21"/>
                <w:szCs w:val="21"/>
              </w:rPr>
              <w:t>两次机会</w:t>
            </w:r>
          </w:p>
          <w:p>
            <w:pPr>
              <w:spacing w:before="69" w:line="253" w:lineRule="auto"/>
              <w:ind w:right="34"/>
              <w:jc w:val="center"/>
              <w:rPr>
                <w:rFonts w:hint="eastAsia" w:ascii="黑体" w:hAnsi="黑体" w:eastAsia="黑体" w:cs="黑体"/>
                <w:spacing w:val="1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1"/>
                <w:sz w:val="21"/>
                <w:szCs w:val="21"/>
              </w:rPr>
              <w:t>均未达标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9" w:hRule="atLeast"/>
        </w:trPr>
        <w:tc>
          <w:tcPr>
            <w:tcW w:w="58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lang w:val="en-US" w:eastAsia="zh-CN"/>
              </w:rPr>
              <w:t>备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lang w:val="en-US" w:eastAsia="zh-CN"/>
              </w:rPr>
              <w:t>注</w:t>
            </w:r>
          </w:p>
        </w:tc>
        <w:tc>
          <w:tcPr>
            <w:tcW w:w="8391" w:type="dxa"/>
            <w:gridSpan w:val="6"/>
            <w:vAlign w:val="center"/>
          </w:tcPr>
          <w:p>
            <w:pPr>
              <w:spacing w:before="69" w:line="253" w:lineRule="auto"/>
              <w:ind w:right="34" w:firstLine="424" w:firstLineChars="200"/>
              <w:jc w:val="both"/>
              <w:rPr>
                <w:rFonts w:hint="eastAsia" w:ascii="仿宋" w:hAnsi="仿宋" w:eastAsia="仿宋" w:cs="仿宋"/>
                <w:spacing w:val="1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1"/>
                <w:sz w:val="21"/>
                <w:szCs w:val="21"/>
                <w:lang w:val="en-US" w:eastAsia="zh-CN"/>
              </w:rPr>
              <w:t>1.单项成绩未达到</w:t>
            </w:r>
            <w:r>
              <w:rPr>
                <w:rFonts w:hint="default" w:ascii="仿宋" w:hAnsi="仿宋" w:eastAsia="仿宋" w:cs="仿宋"/>
                <w:spacing w:val="1"/>
                <w:sz w:val="21"/>
                <w:szCs w:val="21"/>
                <w:lang w:val="en-US" w:eastAsia="zh-CN"/>
              </w:rPr>
              <w:t>“一般”标准的不予招录。</w:t>
            </w:r>
          </w:p>
          <w:p>
            <w:pPr>
              <w:spacing w:before="69" w:line="253" w:lineRule="auto"/>
              <w:ind w:right="34" w:firstLine="424" w:firstLineChars="200"/>
              <w:jc w:val="both"/>
              <w:rPr>
                <w:rFonts w:hint="default" w:ascii="仿宋" w:hAnsi="仿宋" w:eastAsia="仿宋" w:cs="仿宋"/>
                <w:spacing w:val="1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spacing w:val="1"/>
                <w:sz w:val="21"/>
                <w:szCs w:val="21"/>
                <w:lang w:val="en-US" w:eastAsia="zh-CN"/>
              </w:rPr>
              <w:t>2.高原地区应在海拔4000米以下集中组织适应性测试，海拔2000-3000米，每增加100米高度标准递增3秒，3100-4000米，每增加100米高度标准递增4秒。</w:t>
            </w:r>
          </w:p>
        </w:tc>
      </w:tr>
    </w:tbl>
    <w:p/>
    <w:p/>
    <w:p/>
    <w:tbl>
      <w:tblPr>
        <w:tblStyle w:val="4"/>
        <w:tblpPr w:leftFromText="180" w:rightFromText="180" w:vertAnchor="text" w:tblpXSpec="center" w:tblpY="1"/>
        <w:tblOverlap w:val="never"/>
        <w:tblW w:w="501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31"/>
        <w:gridCol w:w="1350"/>
        <w:gridCol w:w="692"/>
        <w:gridCol w:w="723"/>
        <w:gridCol w:w="723"/>
        <w:gridCol w:w="723"/>
        <w:gridCol w:w="726"/>
        <w:gridCol w:w="723"/>
        <w:gridCol w:w="723"/>
        <w:gridCol w:w="726"/>
        <w:gridCol w:w="723"/>
        <w:gridCol w:w="762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5000" w:type="pct"/>
            <w:gridSpan w:val="13"/>
            <w:vAlign w:val="top"/>
          </w:tcPr>
          <w:p>
            <w:pPr>
              <w:spacing w:before="221" w:line="227" w:lineRule="auto"/>
              <w:ind w:left="294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黑体" w:hAnsi="黑体" w:eastAsia="黑体" w:cs="黑体"/>
                <w:spacing w:val="12"/>
                <w:sz w:val="32"/>
                <w:szCs w:val="32"/>
                <w:lang w:val="en-US" w:eastAsia="zh-CN"/>
              </w:rPr>
              <w:t>二</w:t>
            </w:r>
            <w:r>
              <w:rPr>
                <w:rFonts w:hint="eastAsia" w:ascii="黑体" w:hAnsi="黑体" w:eastAsia="黑体" w:cs="黑体"/>
                <w:spacing w:val="8"/>
                <w:sz w:val="32"/>
                <w:szCs w:val="32"/>
              </w:rPr>
              <w:t>、体能测试项目及标准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986" w:type="pct"/>
            <w:gridSpan w:val="2"/>
            <w:vMerge w:val="restart"/>
            <w:vAlign w:val="top"/>
          </w:tcPr>
          <w:p>
            <w:pPr>
              <w:spacing w:line="457" w:lineRule="auto"/>
              <w:rPr>
                <w:rFonts w:ascii="Arial"/>
                <w:sz w:val="21"/>
              </w:rPr>
            </w:pPr>
          </w:p>
          <w:p>
            <w:pPr>
              <w:spacing w:before="68" w:line="230" w:lineRule="auto"/>
              <w:ind w:left="64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项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目</w:t>
            </w:r>
          </w:p>
        </w:tc>
        <w:tc>
          <w:tcPr>
            <w:tcW w:w="4013" w:type="pct"/>
            <w:gridSpan w:val="11"/>
            <w:vAlign w:val="top"/>
          </w:tcPr>
          <w:p>
            <w:pPr>
              <w:spacing w:before="221" w:line="229" w:lineRule="auto"/>
              <w:ind w:left="218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6"/>
                <w:sz w:val="21"/>
                <w:szCs w:val="21"/>
              </w:rPr>
              <w:t>测</w:t>
            </w: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试成绩对应分值、测试办法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86" w:type="pct"/>
            <w:gridSpan w:val="2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3" w:type="pct"/>
            <w:vAlign w:val="top"/>
          </w:tcPr>
          <w:p>
            <w:pPr>
              <w:spacing w:before="192" w:line="230" w:lineRule="auto"/>
              <w:ind w:left="180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楷体" w:hAnsi="楷体" w:eastAsia="楷体" w:cs="楷体"/>
                <w:spacing w:val="-2"/>
                <w:sz w:val="21"/>
                <w:szCs w:val="21"/>
              </w:rPr>
              <w:t>分</w:t>
            </w:r>
          </w:p>
        </w:tc>
        <w:tc>
          <w:tcPr>
            <w:tcW w:w="400" w:type="pct"/>
            <w:vAlign w:val="top"/>
          </w:tcPr>
          <w:p>
            <w:pPr>
              <w:spacing w:before="192" w:line="230" w:lineRule="auto"/>
              <w:ind w:left="160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21"/>
                <w:szCs w:val="21"/>
              </w:rPr>
              <w:t>2</w:t>
            </w:r>
            <w:r>
              <w:rPr>
                <w:rFonts w:ascii="Times New Roman" w:hAnsi="Times New Roman" w:eastAsia="Times New Roman" w:cs="Times New Roman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楷体" w:hAnsi="楷体" w:eastAsia="楷体" w:cs="楷体"/>
                <w:spacing w:val="4"/>
                <w:sz w:val="21"/>
                <w:szCs w:val="21"/>
              </w:rPr>
              <w:t>分</w:t>
            </w:r>
          </w:p>
        </w:tc>
        <w:tc>
          <w:tcPr>
            <w:tcW w:w="400" w:type="pct"/>
            <w:vAlign w:val="top"/>
          </w:tcPr>
          <w:p>
            <w:pPr>
              <w:spacing w:before="192" w:line="230" w:lineRule="auto"/>
              <w:ind w:left="169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1"/>
                <w:szCs w:val="21"/>
              </w:rPr>
              <w:t xml:space="preserve">3 </w:t>
            </w:r>
            <w:r>
              <w:rPr>
                <w:rFonts w:ascii="楷体" w:hAnsi="楷体" w:eastAsia="楷体" w:cs="楷体"/>
                <w:spacing w:val="2"/>
                <w:sz w:val="21"/>
                <w:szCs w:val="21"/>
              </w:rPr>
              <w:t>分</w:t>
            </w:r>
          </w:p>
        </w:tc>
        <w:tc>
          <w:tcPr>
            <w:tcW w:w="400" w:type="pct"/>
            <w:vAlign w:val="top"/>
          </w:tcPr>
          <w:p>
            <w:pPr>
              <w:spacing w:before="192" w:line="230" w:lineRule="auto"/>
              <w:ind w:left="166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21"/>
                <w:szCs w:val="21"/>
              </w:rPr>
              <w:t>4</w:t>
            </w:r>
            <w:r>
              <w:rPr>
                <w:rFonts w:ascii="Times New Roman" w:hAnsi="Times New Roman" w:eastAsia="Times New Roman" w:cs="Times New Roman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楷体" w:hAnsi="楷体" w:eastAsia="楷体" w:cs="楷体"/>
                <w:spacing w:val="4"/>
                <w:sz w:val="21"/>
                <w:szCs w:val="21"/>
              </w:rPr>
              <w:t>分</w:t>
            </w:r>
          </w:p>
        </w:tc>
        <w:tc>
          <w:tcPr>
            <w:tcW w:w="402" w:type="pct"/>
            <w:vAlign w:val="top"/>
          </w:tcPr>
          <w:p>
            <w:pPr>
              <w:spacing w:before="192" w:line="230" w:lineRule="auto"/>
              <w:ind w:left="176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1"/>
                <w:szCs w:val="21"/>
              </w:rPr>
              <w:t>5</w:t>
            </w:r>
            <w:r>
              <w:rPr>
                <w:rFonts w:ascii="Times New Roman" w:hAnsi="Times New Roman" w:eastAsia="Times New Roman" w:cs="Times New Roman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楷体" w:hAnsi="楷体" w:eastAsia="楷体" w:cs="楷体"/>
                <w:spacing w:val="2"/>
                <w:sz w:val="21"/>
                <w:szCs w:val="21"/>
              </w:rPr>
              <w:t>分</w:t>
            </w:r>
          </w:p>
        </w:tc>
        <w:tc>
          <w:tcPr>
            <w:tcW w:w="400" w:type="pct"/>
            <w:vAlign w:val="top"/>
          </w:tcPr>
          <w:p>
            <w:pPr>
              <w:spacing w:before="192" w:line="230" w:lineRule="auto"/>
              <w:ind w:left="175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1"/>
                <w:szCs w:val="21"/>
              </w:rPr>
              <w:t>6</w:t>
            </w:r>
            <w:r>
              <w:rPr>
                <w:rFonts w:ascii="Times New Roman" w:hAnsi="Times New Roman" w:eastAsia="Times New Roman" w:cs="Times New Roman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楷体" w:hAnsi="楷体" w:eastAsia="楷体" w:cs="楷体"/>
                <w:spacing w:val="2"/>
                <w:sz w:val="21"/>
                <w:szCs w:val="21"/>
              </w:rPr>
              <w:t>分</w:t>
            </w:r>
          </w:p>
        </w:tc>
        <w:tc>
          <w:tcPr>
            <w:tcW w:w="400" w:type="pct"/>
            <w:vAlign w:val="top"/>
          </w:tcPr>
          <w:p>
            <w:pPr>
              <w:spacing w:before="192" w:line="230" w:lineRule="auto"/>
              <w:ind w:left="178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1"/>
                <w:szCs w:val="21"/>
              </w:rPr>
              <w:t xml:space="preserve">7 </w:t>
            </w:r>
            <w:r>
              <w:rPr>
                <w:rFonts w:ascii="楷体" w:hAnsi="楷体" w:eastAsia="楷体" w:cs="楷体"/>
                <w:spacing w:val="3"/>
                <w:sz w:val="21"/>
                <w:szCs w:val="21"/>
              </w:rPr>
              <w:t>分</w:t>
            </w:r>
          </w:p>
        </w:tc>
        <w:tc>
          <w:tcPr>
            <w:tcW w:w="402" w:type="pct"/>
            <w:vAlign w:val="top"/>
          </w:tcPr>
          <w:p>
            <w:pPr>
              <w:spacing w:before="192" w:line="230" w:lineRule="auto"/>
              <w:ind w:left="186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1"/>
                <w:szCs w:val="21"/>
              </w:rPr>
              <w:t>8</w:t>
            </w:r>
            <w:r>
              <w:rPr>
                <w:rFonts w:ascii="Times New Roman" w:hAnsi="Times New Roman" w:eastAsia="Times New Roman" w:cs="Times New Roman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楷体" w:hAnsi="楷体" w:eastAsia="楷体" w:cs="楷体"/>
                <w:spacing w:val="1"/>
                <w:sz w:val="21"/>
                <w:szCs w:val="21"/>
              </w:rPr>
              <w:t>分</w:t>
            </w:r>
          </w:p>
        </w:tc>
        <w:tc>
          <w:tcPr>
            <w:tcW w:w="400" w:type="pct"/>
            <w:vAlign w:val="top"/>
          </w:tcPr>
          <w:p>
            <w:pPr>
              <w:spacing w:before="192" w:line="230" w:lineRule="auto"/>
              <w:ind w:left="183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1"/>
                <w:szCs w:val="21"/>
              </w:rPr>
              <w:t xml:space="preserve">9 </w:t>
            </w:r>
            <w:r>
              <w:rPr>
                <w:rFonts w:ascii="楷体" w:hAnsi="楷体" w:eastAsia="楷体" w:cs="楷体"/>
                <w:spacing w:val="2"/>
                <w:sz w:val="21"/>
                <w:szCs w:val="21"/>
              </w:rPr>
              <w:t>分</w:t>
            </w:r>
          </w:p>
        </w:tc>
        <w:tc>
          <w:tcPr>
            <w:tcW w:w="424" w:type="pct"/>
            <w:gridSpan w:val="2"/>
            <w:vAlign w:val="top"/>
          </w:tcPr>
          <w:p>
            <w:pPr>
              <w:spacing w:before="192" w:line="230" w:lineRule="auto"/>
              <w:ind w:left="170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</w:rPr>
              <w:t xml:space="preserve">0 </w:t>
            </w:r>
            <w:r>
              <w:rPr>
                <w:rFonts w:ascii="楷体" w:hAnsi="楷体" w:eastAsia="楷体" w:cs="楷体"/>
                <w:spacing w:val="-7"/>
                <w:sz w:val="21"/>
                <w:szCs w:val="21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239" w:type="pct"/>
            <w:vMerge w:val="restart"/>
            <w:textDirection w:val="tbRlV"/>
            <w:vAlign w:val="top"/>
          </w:tcPr>
          <w:p>
            <w:pPr>
              <w:spacing w:before="130" w:line="206" w:lineRule="auto"/>
              <w:ind w:left="466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25"/>
                <w:sz w:val="21"/>
                <w:szCs w:val="21"/>
                <w:lang w:val="en-US" w:eastAsia="zh-CN"/>
              </w:rPr>
              <w:t>消防员、驾驶员</w:t>
            </w:r>
          </w:p>
        </w:tc>
        <w:tc>
          <w:tcPr>
            <w:tcW w:w="746" w:type="pct"/>
            <w:vMerge w:val="restart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before="69" w:line="223" w:lineRule="auto"/>
              <w:ind w:left="11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单</w:t>
            </w: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杠引体向</w:t>
            </w:r>
          </w:p>
          <w:p>
            <w:pPr>
              <w:spacing w:before="18" w:line="255" w:lineRule="auto"/>
              <w:ind w:left="418" w:right="117" w:hanging="31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5"/>
                <w:sz w:val="21"/>
                <w:szCs w:val="21"/>
              </w:rPr>
              <w:t>上</w:t>
            </w:r>
            <w:r>
              <w:rPr>
                <w:rFonts w:ascii="黑体" w:hAnsi="黑体" w:eastAsia="黑体" w:cs="黑体"/>
                <w:spacing w:val="13"/>
                <w:sz w:val="21"/>
                <w:szCs w:val="21"/>
              </w:rPr>
              <w:t>(次</w:t>
            </w:r>
            <w:r>
              <w:rPr>
                <w:rFonts w:ascii="Times New Roman" w:hAnsi="Times New Roman" w:eastAsia="Times New Roman" w:cs="Times New Roman"/>
                <w:spacing w:val="13"/>
                <w:sz w:val="21"/>
                <w:szCs w:val="21"/>
              </w:rPr>
              <w:t>/</w:t>
            </w:r>
            <w:r>
              <w:rPr>
                <w:rFonts w:hint="eastAsia" w:ascii="Times New Roman" w:hAnsi="Times New Roman" w:eastAsia="宋体" w:cs="Times New Roman"/>
                <w:spacing w:val="13"/>
                <w:sz w:val="21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 w:eastAsia="Times New Roman" w:cs="Times New Roman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13"/>
                <w:sz w:val="21"/>
                <w:szCs w:val="21"/>
              </w:rPr>
              <w:t>分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11"/>
                <w:sz w:val="21"/>
                <w:szCs w:val="21"/>
              </w:rPr>
              <w:t>钟</w:t>
            </w:r>
            <w:r>
              <w:rPr>
                <w:rFonts w:ascii="黑体" w:hAnsi="黑体" w:eastAsia="黑体" w:cs="黑体"/>
                <w:spacing w:val="-9"/>
                <w:sz w:val="21"/>
                <w:szCs w:val="21"/>
              </w:rPr>
              <w:t>)</w:t>
            </w:r>
          </w:p>
        </w:tc>
        <w:tc>
          <w:tcPr>
            <w:tcW w:w="383" w:type="pct"/>
            <w:vAlign w:val="top"/>
          </w:tcPr>
          <w:p>
            <w:pPr>
              <w:spacing w:before="262" w:line="188" w:lineRule="auto"/>
              <w:ind w:left="299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400" w:type="pct"/>
            <w:vAlign w:val="top"/>
          </w:tcPr>
          <w:p>
            <w:pPr>
              <w:spacing w:before="261" w:line="188" w:lineRule="auto"/>
              <w:ind w:left="305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00" w:type="pct"/>
            <w:vAlign w:val="top"/>
          </w:tcPr>
          <w:p>
            <w:pPr>
              <w:spacing w:before="262" w:line="188" w:lineRule="auto"/>
              <w:ind w:left="303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00" w:type="pct"/>
            <w:vAlign w:val="top"/>
          </w:tcPr>
          <w:p>
            <w:pPr>
              <w:spacing w:before="264" w:line="185" w:lineRule="auto"/>
              <w:ind w:left="313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02" w:type="pct"/>
            <w:vAlign w:val="top"/>
          </w:tcPr>
          <w:p>
            <w:pPr>
              <w:spacing w:before="261" w:line="188" w:lineRule="auto"/>
              <w:ind w:left="315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00" w:type="pct"/>
            <w:vAlign w:val="top"/>
          </w:tcPr>
          <w:p>
            <w:pPr>
              <w:spacing w:before="264" w:line="185" w:lineRule="auto"/>
              <w:ind w:left="314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400" w:type="pct"/>
            <w:vAlign w:val="top"/>
          </w:tcPr>
          <w:p>
            <w:pPr>
              <w:spacing w:before="261" w:line="188" w:lineRule="auto"/>
              <w:ind w:left="323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402" w:type="pct"/>
            <w:vAlign w:val="top"/>
          </w:tcPr>
          <w:p>
            <w:pPr>
              <w:spacing w:before="261" w:line="188" w:lineRule="auto"/>
              <w:ind w:left="321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400" w:type="pct"/>
            <w:vAlign w:val="top"/>
          </w:tcPr>
          <w:p>
            <w:pPr>
              <w:spacing w:before="261" w:line="188" w:lineRule="auto"/>
              <w:ind w:left="286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12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424" w:type="pct"/>
            <w:gridSpan w:val="2"/>
            <w:vAlign w:val="top"/>
          </w:tcPr>
          <w:p>
            <w:pPr>
              <w:spacing w:before="262" w:line="188" w:lineRule="auto"/>
              <w:ind w:left="28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2"/>
                <w:sz w:val="21"/>
                <w:szCs w:val="21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</w:trPr>
        <w:tc>
          <w:tcPr>
            <w:tcW w:w="239" w:type="pct"/>
            <w:vMerge w:val="continue"/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6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13" w:type="pct"/>
            <w:gridSpan w:val="11"/>
            <w:vAlign w:val="center"/>
          </w:tcPr>
          <w:p>
            <w:pPr>
              <w:spacing w:before="117" w:line="211" w:lineRule="auto"/>
              <w:ind w:firstLine="384" w:firstLineChars="200"/>
              <w:jc w:val="both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.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单个或分组考核。</w:t>
            </w:r>
          </w:p>
          <w:p>
            <w:pPr>
              <w:spacing w:line="217" w:lineRule="auto"/>
              <w:ind w:right="93" w:firstLine="404" w:firstLineChars="200"/>
              <w:jc w:val="both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.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按照规定动作要领完成动作。引体时下颌高于杠面、身体不得借助振浪或摆动、悬垂时双肘关节伸直；脚触及地面或立柱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，结束考核。</w:t>
            </w:r>
          </w:p>
          <w:p>
            <w:pPr>
              <w:spacing w:line="216" w:lineRule="auto"/>
              <w:ind w:firstLine="396" w:firstLineChars="200"/>
              <w:jc w:val="both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3.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考核以完成次数计算成绩。</w:t>
            </w:r>
          </w:p>
          <w:p>
            <w:pPr>
              <w:spacing w:before="26" w:line="217" w:lineRule="auto"/>
              <w:ind w:firstLine="372" w:firstLineChars="200"/>
              <w:jc w:val="both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2"/>
                <w:sz w:val="21"/>
                <w:szCs w:val="21"/>
              </w:rPr>
              <w:t>4.</w:t>
            </w:r>
            <w:r>
              <w:rPr>
                <w:rFonts w:ascii="仿宋" w:hAnsi="仿宋" w:eastAsia="仿宋" w:cs="仿宋"/>
                <w:spacing w:val="-11"/>
                <w:sz w:val="21"/>
                <w:szCs w:val="21"/>
              </w:rPr>
              <w:t>得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分超出</w:t>
            </w: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10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分的，每递增</w:t>
            </w: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次增加</w:t>
            </w: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分</w:t>
            </w: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  <w:lang w:eastAsia="zh-CN"/>
              </w:rPr>
              <w:t>，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最高</w:t>
            </w: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15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239" w:type="pct"/>
            <w:vMerge w:val="continue"/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6" w:type="pct"/>
            <w:vMerge w:val="restart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69" w:line="254" w:lineRule="auto"/>
              <w:ind w:left="106" w:right="142" w:firstLine="6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 xml:space="preserve">0 </w:t>
            </w: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米</w:t>
            </w: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 xml:space="preserve">×4 </w:t>
            </w: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往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17"/>
                <w:sz w:val="21"/>
                <w:szCs w:val="21"/>
              </w:rPr>
              <w:t>返</w:t>
            </w:r>
            <w:r>
              <w:rPr>
                <w:rFonts w:ascii="黑体" w:hAnsi="黑体" w:eastAsia="黑体" w:cs="黑体"/>
                <w:spacing w:val="14"/>
                <w:sz w:val="21"/>
                <w:szCs w:val="21"/>
              </w:rPr>
              <w:t>跑(秒)</w:t>
            </w:r>
          </w:p>
        </w:tc>
        <w:tc>
          <w:tcPr>
            <w:tcW w:w="383" w:type="pct"/>
            <w:vAlign w:val="top"/>
          </w:tcPr>
          <w:p>
            <w:pPr>
              <w:spacing w:before="261" w:line="188" w:lineRule="auto"/>
              <w:ind w:left="143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spacing w:val="-4"/>
                <w:sz w:val="21"/>
                <w:szCs w:val="21"/>
                <w:lang w:val="en-US" w:eastAsia="zh-CN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″</w:t>
            </w:r>
            <w:r>
              <w:rPr>
                <w:rFonts w:hint="eastAsia" w:ascii="Times New Roman" w:hAnsi="Times New Roman" w:eastAsia="宋体" w:cs="Times New Roman"/>
                <w:spacing w:val="-4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400" w:type="pct"/>
            <w:vAlign w:val="top"/>
          </w:tcPr>
          <w:p>
            <w:pPr>
              <w:spacing w:before="261" w:line="188" w:lineRule="auto"/>
              <w:ind w:left="172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13″</w:t>
            </w:r>
            <w:r>
              <w:rPr>
                <w:rFonts w:hint="eastAsia" w:ascii="Times New Roman" w:hAnsi="Times New Roman" w:eastAsia="宋体" w:cs="Times New Roman"/>
                <w:spacing w:val="-6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00" w:type="pct"/>
            <w:vAlign w:val="top"/>
          </w:tcPr>
          <w:p>
            <w:pPr>
              <w:spacing w:before="261" w:line="188" w:lineRule="auto"/>
              <w:ind w:left="176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spacing w:val="-6"/>
                <w:sz w:val="21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″</w:t>
            </w:r>
            <w:r>
              <w:rPr>
                <w:rFonts w:hint="eastAsia" w:ascii="Times New Roman" w:hAnsi="Times New Roman" w:eastAsia="宋体" w:cs="Times New Roman"/>
                <w:spacing w:val="-6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400" w:type="pct"/>
            <w:vAlign w:val="top"/>
          </w:tcPr>
          <w:p>
            <w:pPr>
              <w:spacing w:before="261" w:line="188" w:lineRule="auto"/>
              <w:ind w:left="179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spacing w:val="-6"/>
                <w:sz w:val="21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″</w:t>
            </w:r>
            <w:r>
              <w:rPr>
                <w:rFonts w:hint="eastAsia" w:ascii="Times New Roman" w:hAnsi="Times New Roman" w:eastAsia="宋体" w:cs="Times New Roman"/>
                <w:spacing w:val="-6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02" w:type="pct"/>
            <w:vAlign w:val="top"/>
          </w:tcPr>
          <w:p>
            <w:pPr>
              <w:spacing w:before="261" w:line="188" w:lineRule="auto"/>
              <w:ind w:left="182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spacing w:val="-6"/>
                <w:sz w:val="21"/>
                <w:szCs w:val="21"/>
                <w:lang w:val="en-US" w:eastAsia="zh-CN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″</w:t>
            </w:r>
            <w:r>
              <w:rPr>
                <w:rFonts w:hint="eastAsia" w:ascii="Times New Roman" w:hAnsi="Times New Roman" w:eastAsia="宋体" w:cs="Times New Roman"/>
                <w:spacing w:val="-6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400" w:type="pct"/>
            <w:vAlign w:val="top"/>
          </w:tcPr>
          <w:p>
            <w:pPr>
              <w:spacing w:before="261" w:line="188" w:lineRule="auto"/>
              <w:ind w:left="182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spacing w:val="-6"/>
                <w:sz w:val="21"/>
                <w:szCs w:val="21"/>
                <w:lang w:val="en-US" w:eastAsia="zh-CN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″</w:t>
            </w:r>
            <w:r>
              <w:rPr>
                <w:rFonts w:hint="eastAsia" w:ascii="Times New Roman" w:hAnsi="Times New Roman" w:eastAsia="宋体" w:cs="Times New Roman"/>
                <w:spacing w:val="-6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00" w:type="pct"/>
            <w:vAlign w:val="top"/>
          </w:tcPr>
          <w:p>
            <w:pPr>
              <w:spacing w:before="261" w:line="188" w:lineRule="auto"/>
              <w:ind w:left="186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spacing w:val="-6"/>
                <w:sz w:val="21"/>
                <w:szCs w:val="21"/>
                <w:lang w:val="en-US" w:eastAsia="zh-CN"/>
              </w:rPr>
              <w:t>0</w:t>
            </w: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″</w:t>
            </w:r>
            <w:r>
              <w:rPr>
                <w:rFonts w:hint="eastAsia" w:ascii="Times New Roman" w:hAnsi="Times New Roman" w:eastAsia="宋体" w:cs="Times New Roman"/>
                <w:spacing w:val="-6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402" w:type="pct"/>
            <w:vAlign w:val="top"/>
          </w:tcPr>
          <w:p>
            <w:pPr>
              <w:spacing w:before="261" w:line="188" w:lineRule="auto"/>
              <w:ind w:left="189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spacing w:val="-6"/>
                <w:sz w:val="21"/>
                <w:szCs w:val="21"/>
                <w:lang w:val="en-US" w:eastAsia="zh-CN"/>
              </w:rPr>
              <w:t>0</w:t>
            </w: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″</w:t>
            </w:r>
            <w:r>
              <w:rPr>
                <w:rFonts w:hint="eastAsia" w:ascii="Times New Roman" w:hAnsi="Times New Roman" w:eastAsia="宋体" w:cs="Times New Roman"/>
                <w:spacing w:val="-6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00" w:type="pct"/>
            <w:vAlign w:val="top"/>
          </w:tcPr>
          <w:p>
            <w:pPr>
              <w:spacing w:before="261" w:line="188" w:lineRule="auto"/>
              <w:ind w:left="194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spacing w:val="-7"/>
                <w:sz w:val="21"/>
                <w:szCs w:val="21"/>
                <w:lang w:val="en-US" w:eastAsia="zh-CN"/>
              </w:rPr>
              <w:t>0</w:t>
            </w: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</w:rPr>
              <w:t>″</w:t>
            </w:r>
            <w:r>
              <w:rPr>
                <w:rFonts w:hint="eastAsia" w:ascii="Times New Roman" w:hAnsi="Times New Roman" w:eastAsia="宋体" w:cs="Times New Roman"/>
                <w:spacing w:val="-7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24" w:type="pct"/>
            <w:gridSpan w:val="2"/>
            <w:vAlign w:val="top"/>
          </w:tcPr>
          <w:p>
            <w:pPr>
              <w:spacing w:before="261" w:line="188" w:lineRule="auto"/>
              <w:ind w:left="194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6"/>
                <w:sz w:val="21"/>
                <w:szCs w:val="21"/>
                <w:lang w:val="en-US" w:eastAsia="zh-CN"/>
              </w:rPr>
              <w:t>9</w:t>
            </w: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″</w:t>
            </w:r>
            <w:r>
              <w:rPr>
                <w:rFonts w:hint="eastAsia" w:ascii="Times New Roman" w:hAnsi="Times New Roman" w:eastAsia="宋体" w:cs="Times New Roman"/>
                <w:spacing w:val="-6"/>
                <w:sz w:val="21"/>
                <w:szCs w:val="21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1" w:hRule="atLeast"/>
        </w:trPr>
        <w:tc>
          <w:tcPr>
            <w:tcW w:w="239" w:type="pct"/>
            <w:vMerge w:val="continue"/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6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13" w:type="pct"/>
            <w:gridSpan w:val="11"/>
            <w:vAlign w:val="top"/>
          </w:tcPr>
          <w:p>
            <w:pPr>
              <w:spacing w:before="148" w:line="211" w:lineRule="auto"/>
              <w:ind w:left="53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.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单个或分组考核。</w:t>
            </w:r>
          </w:p>
          <w:p>
            <w:pPr>
              <w:spacing w:before="3" w:line="210" w:lineRule="auto"/>
              <w:ind w:left="100" w:right="135" w:firstLine="41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2.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在</w:t>
            </w: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10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米长的跑道上标出起点线和折返线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，考生从起点线处听到起跑口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令后起跑，在折返线处返回跑向起跑线，到达起跑线时为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完成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1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次往返。连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1"/>
                <w:szCs w:val="21"/>
              </w:rPr>
              <w:t>续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完成</w:t>
            </w: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2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次往返，记录时间。</w:t>
            </w:r>
          </w:p>
          <w:p>
            <w:pPr>
              <w:spacing w:line="216" w:lineRule="auto"/>
              <w:ind w:left="52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3.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考核以完成时间计算成绩。</w:t>
            </w:r>
          </w:p>
          <w:p>
            <w:pPr>
              <w:spacing w:before="8" w:line="217" w:lineRule="auto"/>
              <w:ind w:left="51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1"/>
                <w:szCs w:val="21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.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得分超出</w:t>
            </w: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10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分的，每递减</w:t>
            </w: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0.1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秒增加</w:t>
            </w: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分</w:t>
            </w: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  <w:lang w:eastAsia="zh-CN"/>
              </w:rPr>
              <w:t>，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最高</w:t>
            </w: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15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分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。</w:t>
            </w:r>
          </w:p>
          <w:p>
            <w:pPr>
              <w:spacing w:before="25" w:line="217" w:lineRule="auto"/>
              <w:ind w:left="52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5.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高原地</w:t>
            </w: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区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按照上述内地标准增加</w:t>
            </w: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239" w:type="pct"/>
            <w:vMerge w:val="continue"/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6" w:type="pct"/>
            <w:vMerge w:val="restart"/>
            <w:vAlign w:val="top"/>
          </w:tcPr>
          <w:p>
            <w:pPr>
              <w:spacing w:line="258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spacing w:line="259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spacing w:line="259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spacing w:line="259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spacing w:before="69" w:line="254" w:lineRule="auto"/>
              <w:ind w:left="118" w:right="142" w:firstLine="81"/>
              <w:rPr>
                <w:rFonts w:ascii="黑体" w:hAnsi="黑体" w:eastAsia="黑体" w:cs="黑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6"/>
                <w:sz w:val="21"/>
                <w:szCs w:val="21"/>
                <w:highlight w:val="none"/>
              </w:rPr>
              <w:t>1</w:t>
            </w:r>
            <w:r>
              <w:rPr>
                <w:rFonts w:ascii="Times New Roman" w:hAnsi="Times New Roman" w:eastAsia="Times New Roman" w:cs="Times New Roman"/>
                <w:color w:val="auto"/>
                <w:spacing w:val="-4"/>
                <w:sz w:val="21"/>
                <w:szCs w:val="21"/>
                <w:highlight w:val="none"/>
              </w:rPr>
              <w:t>0</w:t>
            </w:r>
            <w:r>
              <w:rPr>
                <w:rFonts w:ascii="Times New Roman" w:hAnsi="Times New Roman" w:eastAsia="Times New Roman" w:cs="Times New Roman"/>
                <w:color w:val="auto"/>
                <w:spacing w:val="-3"/>
                <w:sz w:val="21"/>
                <w:szCs w:val="21"/>
                <w:highlight w:val="none"/>
              </w:rPr>
              <w:t xml:space="preserve">00 </w:t>
            </w:r>
            <w:r>
              <w:rPr>
                <w:rFonts w:ascii="黑体" w:hAnsi="黑体" w:eastAsia="黑体" w:cs="黑体"/>
                <w:color w:val="auto"/>
                <w:spacing w:val="-3"/>
                <w:sz w:val="21"/>
                <w:szCs w:val="21"/>
                <w:highlight w:val="none"/>
              </w:rPr>
              <w:t>米跑</w:t>
            </w:r>
            <w:r>
              <w:rPr>
                <w:rFonts w:ascii="黑体" w:hAnsi="黑体" w:eastAsia="黑体" w:cs="黑体"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ascii="黑体" w:hAnsi="黑体" w:eastAsia="黑体" w:cs="黑体"/>
                <w:color w:val="auto"/>
                <w:spacing w:val="13"/>
                <w:sz w:val="21"/>
                <w:szCs w:val="21"/>
                <w:highlight w:val="none"/>
              </w:rPr>
              <w:t>(</w:t>
            </w:r>
            <w:r>
              <w:rPr>
                <w:rFonts w:ascii="黑体" w:hAnsi="黑体" w:eastAsia="黑体" w:cs="黑体"/>
                <w:color w:val="auto"/>
                <w:spacing w:val="12"/>
                <w:sz w:val="21"/>
                <w:szCs w:val="21"/>
                <w:highlight w:val="none"/>
              </w:rPr>
              <w:t>分、秒)</w:t>
            </w:r>
          </w:p>
        </w:tc>
        <w:tc>
          <w:tcPr>
            <w:tcW w:w="383" w:type="pct"/>
            <w:vAlign w:val="top"/>
          </w:tcPr>
          <w:p>
            <w:pPr>
              <w:spacing w:before="263" w:line="188" w:lineRule="auto"/>
              <w:ind w:left="125"/>
              <w:rPr>
                <w:rFonts w:ascii="Times New Roman" w:hAnsi="Times New Roman" w:eastAsia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1"/>
                <w:sz w:val="21"/>
                <w:szCs w:val="21"/>
                <w:highlight w:val="none"/>
              </w:rPr>
              <w:t>4′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ascii="Times New Roman" w:hAnsi="Times New Roman" w:eastAsia="Times New Roman" w:cs="Times New Roman"/>
                <w:color w:val="auto"/>
                <w:sz w:val="21"/>
                <w:szCs w:val="21"/>
                <w:highlight w:val="none"/>
              </w:rPr>
              <w:t>5″</w:t>
            </w:r>
          </w:p>
        </w:tc>
        <w:tc>
          <w:tcPr>
            <w:tcW w:w="400" w:type="pct"/>
            <w:vAlign w:val="top"/>
          </w:tcPr>
          <w:p>
            <w:pPr>
              <w:spacing w:before="260" w:line="188" w:lineRule="auto"/>
              <w:ind w:left="128"/>
              <w:rPr>
                <w:rFonts w:ascii="Times New Roman" w:hAnsi="Times New Roman" w:eastAsia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1"/>
                <w:sz w:val="21"/>
                <w:szCs w:val="21"/>
                <w:highlight w:val="none"/>
              </w:rPr>
              <w:t>4′</w:t>
            </w:r>
            <w:r>
              <w:rPr>
                <w:rFonts w:ascii="Times New Roman" w:hAnsi="Times New Roman" w:eastAsia="Times New Roman" w:cs="Times New Roman"/>
                <w:color w:val="auto"/>
                <w:sz w:val="21"/>
                <w:szCs w:val="21"/>
                <w:highlight w:val="none"/>
              </w:rPr>
              <w:t>20″</w:t>
            </w:r>
          </w:p>
        </w:tc>
        <w:tc>
          <w:tcPr>
            <w:tcW w:w="400" w:type="pct"/>
            <w:vAlign w:val="top"/>
          </w:tcPr>
          <w:p>
            <w:pPr>
              <w:spacing w:before="260" w:line="188" w:lineRule="auto"/>
              <w:ind w:left="131"/>
              <w:rPr>
                <w:rFonts w:ascii="Times New Roman" w:hAnsi="Times New Roman" w:eastAsia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1"/>
                <w:sz w:val="21"/>
                <w:szCs w:val="21"/>
                <w:highlight w:val="none"/>
              </w:rPr>
              <w:t>4′</w:t>
            </w:r>
            <w:r>
              <w:rPr>
                <w:rFonts w:ascii="Times New Roman" w:hAnsi="Times New Roman" w:eastAsia="Times New Roman" w:cs="Times New Roman"/>
                <w:color w:val="auto"/>
                <w:sz w:val="21"/>
                <w:szCs w:val="21"/>
                <w:highlight w:val="none"/>
              </w:rPr>
              <w:t>15″</w:t>
            </w:r>
          </w:p>
        </w:tc>
        <w:tc>
          <w:tcPr>
            <w:tcW w:w="400" w:type="pct"/>
            <w:vAlign w:val="top"/>
          </w:tcPr>
          <w:p>
            <w:pPr>
              <w:spacing w:before="263" w:line="188" w:lineRule="auto"/>
              <w:ind w:left="134"/>
              <w:rPr>
                <w:rFonts w:ascii="Times New Roman" w:hAnsi="Times New Roman" w:eastAsia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1"/>
                <w:sz w:val="21"/>
                <w:szCs w:val="21"/>
                <w:highlight w:val="none"/>
              </w:rPr>
              <w:t>4′</w:t>
            </w:r>
            <w:r>
              <w:rPr>
                <w:rFonts w:ascii="Times New Roman" w:hAnsi="Times New Roman" w:eastAsia="Times New Roman" w:cs="Times New Roman"/>
                <w:color w:val="auto"/>
                <w:sz w:val="21"/>
                <w:szCs w:val="21"/>
                <w:highlight w:val="none"/>
              </w:rPr>
              <w:t>10″</w:t>
            </w:r>
          </w:p>
        </w:tc>
        <w:tc>
          <w:tcPr>
            <w:tcW w:w="402" w:type="pct"/>
            <w:vAlign w:val="top"/>
          </w:tcPr>
          <w:p>
            <w:pPr>
              <w:spacing w:before="260" w:line="188" w:lineRule="auto"/>
              <w:ind w:left="136"/>
              <w:rPr>
                <w:rFonts w:ascii="Times New Roman" w:hAnsi="Times New Roman" w:eastAsia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1"/>
                <w:sz w:val="21"/>
                <w:szCs w:val="21"/>
                <w:highlight w:val="none"/>
              </w:rPr>
              <w:t>4′</w:t>
            </w:r>
            <w:r>
              <w:rPr>
                <w:rFonts w:ascii="Times New Roman" w:hAnsi="Times New Roman" w:eastAsia="Times New Roman" w:cs="Times New Roman"/>
                <w:color w:val="auto"/>
                <w:sz w:val="21"/>
                <w:szCs w:val="21"/>
                <w:highlight w:val="none"/>
              </w:rPr>
              <w:t>05″</w:t>
            </w:r>
          </w:p>
        </w:tc>
        <w:tc>
          <w:tcPr>
            <w:tcW w:w="400" w:type="pct"/>
            <w:vAlign w:val="top"/>
          </w:tcPr>
          <w:p>
            <w:pPr>
              <w:spacing w:before="263" w:line="188" w:lineRule="auto"/>
              <w:ind w:left="137"/>
              <w:rPr>
                <w:rFonts w:ascii="Times New Roman" w:hAnsi="Times New Roman" w:eastAsia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1"/>
                <w:sz w:val="21"/>
                <w:szCs w:val="21"/>
                <w:highlight w:val="none"/>
              </w:rPr>
              <w:t>4′</w:t>
            </w:r>
            <w:r>
              <w:rPr>
                <w:rFonts w:ascii="Times New Roman" w:hAnsi="Times New Roman" w:eastAsia="Times New Roman" w:cs="Times New Roman"/>
                <w:color w:val="auto"/>
                <w:sz w:val="21"/>
                <w:szCs w:val="21"/>
                <w:highlight w:val="none"/>
              </w:rPr>
              <w:t>00″</w:t>
            </w:r>
          </w:p>
        </w:tc>
        <w:tc>
          <w:tcPr>
            <w:tcW w:w="400" w:type="pct"/>
            <w:vAlign w:val="top"/>
          </w:tcPr>
          <w:p>
            <w:pPr>
              <w:spacing w:before="263" w:line="188" w:lineRule="auto"/>
              <w:ind w:left="146"/>
              <w:rPr>
                <w:rFonts w:ascii="Times New Roman" w:hAnsi="Times New Roman" w:eastAsia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2"/>
                <w:sz w:val="21"/>
                <w:szCs w:val="21"/>
                <w:highlight w:val="none"/>
              </w:rPr>
              <w:t>3</w:t>
            </w:r>
            <w:r>
              <w:rPr>
                <w:rFonts w:ascii="Times New Roman" w:hAnsi="Times New Roman" w:eastAsia="Times New Roman" w:cs="Times New Roman"/>
                <w:color w:val="auto"/>
                <w:spacing w:val="-1"/>
                <w:sz w:val="21"/>
                <w:szCs w:val="21"/>
                <w:highlight w:val="none"/>
              </w:rPr>
              <w:t>′55″</w:t>
            </w:r>
          </w:p>
        </w:tc>
        <w:tc>
          <w:tcPr>
            <w:tcW w:w="402" w:type="pct"/>
            <w:vAlign w:val="top"/>
          </w:tcPr>
          <w:p>
            <w:pPr>
              <w:spacing w:before="263" w:line="188" w:lineRule="auto"/>
              <w:ind w:left="150"/>
              <w:rPr>
                <w:rFonts w:ascii="Times New Roman" w:hAnsi="Times New Roman" w:eastAsia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2"/>
                <w:sz w:val="21"/>
                <w:szCs w:val="21"/>
                <w:highlight w:val="none"/>
              </w:rPr>
              <w:t>3</w:t>
            </w:r>
            <w:r>
              <w:rPr>
                <w:rFonts w:ascii="Times New Roman" w:hAnsi="Times New Roman" w:eastAsia="Times New Roman" w:cs="Times New Roman"/>
                <w:color w:val="auto"/>
                <w:spacing w:val="-1"/>
                <w:sz w:val="21"/>
                <w:szCs w:val="21"/>
                <w:highlight w:val="none"/>
              </w:rPr>
              <w:t>′50″</w:t>
            </w:r>
          </w:p>
        </w:tc>
        <w:tc>
          <w:tcPr>
            <w:tcW w:w="400" w:type="pct"/>
            <w:vAlign w:val="top"/>
          </w:tcPr>
          <w:p>
            <w:pPr>
              <w:spacing w:before="263" w:line="188" w:lineRule="auto"/>
              <w:ind w:left="151"/>
              <w:rPr>
                <w:rFonts w:ascii="Times New Roman" w:hAnsi="Times New Roman" w:eastAsia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2"/>
                <w:sz w:val="21"/>
                <w:szCs w:val="21"/>
                <w:highlight w:val="none"/>
              </w:rPr>
              <w:t>3′</w:t>
            </w:r>
            <w:r>
              <w:rPr>
                <w:rFonts w:ascii="Times New Roman" w:hAnsi="Times New Roman" w:eastAsia="Times New Roman" w:cs="Times New Roman"/>
                <w:color w:val="auto"/>
                <w:spacing w:val="-1"/>
                <w:sz w:val="21"/>
                <w:szCs w:val="21"/>
                <w:highlight w:val="none"/>
              </w:rPr>
              <w:t>45″</w:t>
            </w:r>
          </w:p>
        </w:tc>
        <w:tc>
          <w:tcPr>
            <w:tcW w:w="424" w:type="pct"/>
            <w:gridSpan w:val="2"/>
            <w:vAlign w:val="top"/>
          </w:tcPr>
          <w:p>
            <w:pPr>
              <w:spacing w:before="263" w:line="188" w:lineRule="auto"/>
              <w:ind w:left="154"/>
              <w:rPr>
                <w:rFonts w:ascii="Times New Roman" w:hAnsi="Times New Roman" w:eastAsia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2"/>
                <w:sz w:val="21"/>
                <w:szCs w:val="21"/>
                <w:highlight w:val="none"/>
              </w:rPr>
              <w:t>3′</w:t>
            </w:r>
            <w:r>
              <w:rPr>
                <w:rFonts w:ascii="Times New Roman" w:hAnsi="Times New Roman" w:eastAsia="Times New Roman" w:cs="Times New Roman"/>
                <w:color w:val="auto"/>
                <w:spacing w:val="-1"/>
                <w:sz w:val="21"/>
                <w:szCs w:val="21"/>
                <w:highlight w:val="none"/>
              </w:rPr>
              <w:t>40″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3" w:hRule="atLeast"/>
        </w:trPr>
        <w:tc>
          <w:tcPr>
            <w:tcW w:w="239" w:type="pct"/>
            <w:vMerge w:val="continue"/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6" w:type="pct"/>
            <w:vMerge w:val="continue"/>
            <w:vAlign w:val="top"/>
          </w:tcPr>
          <w:p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4013" w:type="pct"/>
            <w:gridSpan w:val="11"/>
            <w:vAlign w:val="top"/>
          </w:tcPr>
          <w:p>
            <w:pPr>
              <w:spacing w:before="144" w:line="211" w:lineRule="auto"/>
              <w:ind w:left="538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11"/>
                <w:sz w:val="21"/>
                <w:szCs w:val="21"/>
                <w:highlight w:val="none"/>
              </w:rPr>
              <w:t>1</w:t>
            </w:r>
            <w:r>
              <w:rPr>
                <w:rFonts w:ascii="Times New Roman" w:hAnsi="Times New Roman" w:eastAsia="Times New Roman" w:cs="Times New Roman"/>
                <w:color w:val="auto"/>
                <w:spacing w:val="-8"/>
                <w:sz w:val="21"/>
                <w:szCs w:val="21"/>
                <w:highlight w:val="none"/>
              </w:rPr>
              <w:t>.</w:t>
            </w:r>
            <w:r>
              <w:rPr>
                <w:rFonts w:ascii="仿宋" w:hAnsi="仿宋" w:eastAsia="仿宋" w:cs="仿宋"/>
                <w:color w:val="auto"/>
                <w:spacing w:val="-8"/>
                <w:sz w:val="21"/>
                <w:szCs w:val="21"/>
                <w:highlight w:val="none"/>
              </w:rPr>
              <w:t>分组考核。</w:t>
            </w:r>
          </w:p>
          <w:p>
            <w:pPr>
              <w:spacing w:before="2" w:line="210" w:lineRule="auto"/>
              <w:ind w:left="106" w:right="93" w:firstLine="411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8"/>
                <w:sz w:val="21"/>
                <w:szCs w:val="21"/>
                <w:highlight w:val="none"/>
              </w:rPr>
              <w:t>2.</w:t>
            </w:r>
            <w:r>
              <w:rPr>
                <w:rFonts w:ascii="仿宋" w:hAnsi="仿宋" w:eastAsia="仿宋" w:cs="仿宋"/>
                <w:color w:val="auto"/>
                <w:spacing w:val="-8"/>
                <w:sz w:val="21"/>
                <w:szCs w:val="21"/>
                <w:highlight w:val="none"/>
              </w:rPr>
              <w:t>在跑道或平地上标出起点线，考生从起点线处听到起跑口令后起跑，</w:t>
            </w:r>
            <w:r>
              <w:rPr>
                <w:rFonts w:ascii="仿宋" w:hAnsi="仿宋" w:eastAsia="仿宋" w:cs="仿宋"/>
                <w:color w:val="auto"/>
                <w:spacing w:val="-6"/>
                <w:sz w:val="21"/>
                <w:szCs w:val="21"/>
                <w:highlight w:val="none"/>
              </w:rPr>
              <w:t>完</w:t>
            </w:r>
            <w:r>
              <w:rPr>
                <w:rFonts w:ascii="仿宋" w:hAnsi="仿宋" w:eastAsia="仿宋" w:cs="仿宋"/>
                <w:color w:val="auto"/>
                <w:spacing w:val="-5"/>
                <w:sz w:val="21"/>
                <w:szCs w:val="21"/>
                <w:highlight w:val="none"/>
              </w:rPr>
              <w:t>成</w:t>
            </w:r>
            <w:r>
              <w:rPr>
                <w:rFonts w:ascii="Times New Roman" w:hAnsi="Times New Roman" w:eastAsia="Times New Roman" w:cs="Times New Roman"/>
                <w:color w:val="auto"/>
                <w:spacing w:val="-5"/>
                <w:sz w:val="21"/>
                <w:szCs w:val="21"/>
                <w:highlight w:val="none"/>
              </w:rPr>
              <w:t>1000</w:t>
            </w:r>
            <w:r>
              <w:rPr>
                <w:rFonts w:ascii="仿宋" w:hAnsi="仿宋" w:eastAsia="仿宋" w:cs="仿宋"/>
                <w:color w:val="auto"/>
                <w:spacing w:val="-5"/>
                <w:sz w:val="21"/>
                <w:szCs w:val="21"/>
                <w:highlight w:val="none"/>
              </w:rPr>
              <w:t>米距离到达终点线，记录时间。</w:t>
            </w:r>
          </w:p>
          <w:p>
            <w:pPr>
              <w:spacing w:line="216" w:lineRule="auto"/>
              <w:ind w:left="522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6"/>
                <w:sz w:val="21"/>
                <w:szCs w:val="21"/>
                <w:highlight w:val="none"/>
              </w:rPr>
              <w:t>3.</w:t>
            </w:r>
            <w:r>
              <w:rPr>
                <w:rFonts w:ascii="仿宋" w:hAnsi="仿宋" w:eastAsia="仿宋" w:cs="仿宋"/>
                <w:color w:val="auto"/>
                <w:spacing w:val="-3"/>
                <w:sz w:val="21"/>
                <w:szCs w:val="21"/>
                <w:highlight w:val="none"/>
              </w:rPr>
              <w:t>考核以完成时间计算成绩。</w:t>
            </w:r>
          </w:p>
          <w:p>
            <w:pPr>
              <w:spacing w:before="8" w:line="217" w:lineRule="auto"/>
              <w:ind w:left="516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12"/>
                <w:sz w:val="21"/>
                <w:szCs w:val="21"/>
                <w:highlight w:val="none"/>
              </w:rPr>
              <w:t>4.</w:t>
            </w:r>
            <w:r>
              <w:rPr>
                <w:rFonts w:ascii="仿宋" w:hAnsi="仿宋" w:eastAsia="仿宋" w:cs="仿宋"/>
                <w:color w:val="auto"/>
                <w:spacing w:val="-11"/>
                <w:sz w:val="21"/>
                <w:szCs w:val="21"/>
                <w:highlight w:val="none"/>
              </w:rPr>
              <w:t>得</w:t>
            </w:r>
            <w:r>
              <w:rPr>
                <w:rFonts w:ascii="仿宋" w:hAnsi="仿宋" w:eastAsia="仿宋" w:cs="仿宋"/>
                <w:color w:val="auto"/>
                <w:spacing w:val="-6"/>
                <w:sz w:val="21"/>
                <w:szCs w:val="21"/>
                <w:highlight w:val="none"/>
              </w:rPr>
              <w:t>分超出</w:t>
            </w:r>
            <w:r>
              <w:rPr>
                <w:rFonts w:ascii="Times New Roman" w:hAnsi="Times New Roman" w:eastAsia="Times New Roman" w:cs="Times New Roman"/>
                <w:color w:val="auto"/>
                <w:spacing w:val="-6"/>
                <w:sz w:val="21"/>
                <w:szCs w:val="21"/>
                <w:highlight w:val="none"/>
              </w:rPr>
              <w:t>10</w:t>
            </w:r>
            <w:r>
              <w:rPr>
                <w:rFonts w:ascii="仿宋" w:hAnsi="仿宋" w:eastAsia="仿宋" w:cs="仿宋"/>
                <w:color w:val="auto"/>
                <w:spacing w:val="-6"/>
                <w:sz w:val="21"/>
                <w:szCs w:val="21"/>
                <w:highlight w:val="none"/>
              </w:rPr>
              <w:t>分的，每递减</w:t>
            </w:r>
            <w:r>
              <w:rPr>
                <w:rFonts w:ascii="Times New Roman" w:hAnsi="Times New Roman" w:eastAsia="Times New Roman" w:cs="Times New Roman"/>
                <w:color w:val="auto"/>
                <w:spacing w:val="-6"/>
                <w:sz w:val="21"/>
                <w:szCs w:val="21"/>
                <w:highlight w:val="none"/>
              </w:rPr>
              <w:t>5</w:t>
            </w:r>
            <w:r>
              <w:rPr>
                <w:rFonts w:ascii="仿宋" w:hAnsi="仿宋" w:eastAsia="仿宋" w:cs="仿宋"/>
                <w:color w:val="auto"/>
                <w:spacing w:val="-6"/>
                <w:sz w:val="21"/>
                <w:szCs w:val="21"/>
                <w:highlight w:val="none"/>
              </w:rPr>
              <w:t>秒增加</w:t>
            </w:r>
            <w:r>
              <w:rPr>
                <w:rFonts w:ascii="Times New Roman" w:hAnsi="Times New Roman" w:eastAsia="Times New Roman" w:cs="Times New Roman"/>
                <w:color w:val="auto"/>
                <w:spacing w:val="-6"/>
                <w:sz w:val="21"/>
                <w:szCs w:val="21"/>
                <w:highlight w:val="none"/>
              </w:rPr>
              <w:t>1</w:t>
            </w:r>
            <w:r>
              <w:rPr>
                <w:rFonts w:ascii="仿宋" w:hAnsi="仿宋" w:eastAsia="仿宋" w:cs="仿宋"/>
                <w:color w:val="auto"/>
                <w:spacing w:val="-6"/>
                <w:sz w:val="21"/>
                <w:szCs w:val="21"/>
                <w:highlight w:val="none"/>
              </w:rPr>
              <w:t>分</w:t>
            </w: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  <w:lang w:eastAsia="zh-CN"/>
              </w:rPr>
              <w:t>，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最高</w:t>
            </w: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15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分</w:t>
            </w:r>
            <w:r>
              <w:rPr>
                <w:rFonts w:ascii="仿宋" w:hAnsi="仿宋" w:eastAsia="仿宋" w:cs="仿宋"/>
                <w:color w:val="auto"/>
                <w:spacing w:val="-6"/>
                <w:sz w:val="21"/>
                <w:szCs w:val="21"/>
                <w:highlight w:val="none"/>
              </w:rPr>
              <w:t>。</w:t>
            </w:r>
          </w:p>
          <w:p>
            <w:pPr>
              <w:spacing w:before="26" w:line="253" w:lineRule="auto"/>
              <w:ind w:left="101" w:right="138" w:firstLine="421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10"/>
                <w:sz w:val="21"/>
                <w:szCs w:val="21"/>
                <w:highlight w:val="none"/>
              </w:rPr>
              <w:t>5</w:t>
            </w:r>
            <w:r>
              <w:rPr>
                <w:rFonts w:ascii="Times New Roman" w:hAnsi="Times New Roman" w:eastAsia="Times New Roman" w:cs="Times New Roman"/>
                <w:color w:val="auto"/>
                <w:spacing w:val="-8"/>
                <w:sz w:val="21"/>
                <w:szCs w:val="21"/>
                <w:highlight w:val="none"/>
              </w:rPr>
              <w:t>.</w:t>
            </w:r>
            <w:r>
              <w:rPr>
                <w:rFonts w:ascii="仿宋" w:hAnsi="仿宋" w:eastAsia="仿宋" w:cs="仿宋"/>
                <w:color w:val="auto"/>
                <w:spacing w:val="-5"/>
                <w:sz w:val="21"/>
                <w:szCs w:val="21"/>
                <w:highlight w:val="none"/>
              </w:rPr>
              <w:t xml:space="preserve">海拔 </w:t>
            </w:r>
            <w:r>
              <w:rPr>
                <w:rFonts w:ascii="Times New Roman" w:hAnsi="Times New Roman" w:eastAsia="Times New Roman" w:cs="Times New Roman"/>
                <w:color w:val="auto"/>
                <w:spacing w:val="-5"/>
                <w:sz w:val="21"/>
                <w:szCs w:val="21"/>
                <w:highlight w:val="none"/>
              </w:rPr>
              <w:t>2100-3000</w:t>
            </w:r>
            <w:r>
              <w:rPr>
                <w:rFonts w:ascii="仿宋" w:hAnsi="仿宋" w:eastAsia="仿宋" w:cs="仿宋"/>
                <w:color w:val="auto"/>
                <w:spacing w:val="-5"/>
                <w:sz w:val="21"/>
                <w:szCs w:val="21"/>
                <w:highlight w:val="none"/>
              </w:rPr>
              <w:t>米，每增加</w:t>
            </w:r>
            <w:r>
              <w:rPr>
                <w:rFonts w:ascii="Times New Roman" w:hAnsi="Times New Roman" w:eastAsia="Times New Roman" w:cs="Times New Roman"/>
                <w:color w:val="auto"/>
                <w:spacing w:val="-5"/>
                <w:sz w:val="21"/>
                <w:szCs w:val="21"/>
                <w:highlight w:val="none"/>
              </w:rPr>
              <w:t>100</w:t>
            </w:r>
            <w:r>
              <w:rPr>
                <w:rFonts w:ascii="仿宋" w:hAnsi="仿宋" w:eastAsia="仿宋" w:cs="仿宋"/>
                <w:color w:val="auto"/>
                <w:spacing w:val="-5"/>
                <w:sz w:val="21"/>
                <w:szCs w:val="21"/>
                <w:highlight w:val="none"/>
              </w:rPr>
              <w:t>米高度标准递增</w:t>
            </w:r>
            <w:r>
              <w:rPr>
                <w:rFonts w:ascii="Times New Roman" w:hAnsi="Times New Roman" w:eastAsia="Times New Roman" w:cs="Times New Roman"/>
                <w:color w:val="auto"/>
                <w:spacing w:val="-5"/>
                <w:sz w:val="21"/>
                <w:szCs w:val="21"/>
                <w:highlight w:val="none"/>
              </w:rPr>
              <w:t>3</w:t>
            </w:r>
            <w:r>
              <w:rPr>
                <w:rFonts w:ascii="仿宋" w:hAnsi="仿宋" w:eastAsia="仿宋" w:cs="仿宋"/>
                <w:color w:val="auto"/>
                <w:spacing w:val="-5"/>
                <w:sz w:val="21"/>
                <w:szCs w:val="21"/>
                <w:highlight w:val="none"/>
              </w:rPr>
              <w:t>秒，</w:t>
            </w:r>
            <w:r>
              <w:rPr>
                <w:rFonts w:ascii="Times New Roman" w:hAnsi="Times New Roman" w:eastAsia="Times New Roman" w:cs="Times New Roman"/>
                <w:color w:val="auto"/>
                <w:spacing w:val="-5"/>
                <w:sz w:val="21"/>
                <w:szCs w:val="21"/>
                <w:highlight w:val="none"/>
              </w:rPr>
              <w:t>3100-4000</w:t>
            </w:r>
            <w:r>
              <w:rPr>
                <w:rFonts w:ascii="仿宋" w:hAnsi="仿宋" w:eastAsia="仿宋" w:cs="仿宋"/>
                <w:color w:val="auto"/>
                <w:spacing w:val="-5"/>
                <w:sz w:val="21"/>
                <w:szCs w:val="21"/>
                <w:highlight w:val="none"/>
              </w:rPr>
              <w:t>米，</w:t>
            </w:r>
            <w:r>
              <w:rPr>
                <w:rFonts w:ascii="仿宋" w:hAnsi="仿宋" w:eastAsia="仿宋" w:cs="仿宋"/>
                <w:color w:val="auto"/>
                <w:spacing w:val="-2"/>
                <w:sz w:val="21"/>
                <w:szCs w:val="21"/>
                <w:highlight w:val="none"/>
              </w:rPr>
              <w:t>每增加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ascii="Times New Roman" w:hAnsi="Times New Roman" w:eastAsia="Times New Roman" w:cs="Times New Roman"/>
                <w:color w:val="auto"/>
                <w:spacing w:val="-2"/>
                <w:sz w:val="21"/>
                <w:szCs w:val="21"/>
                <w:highlight w:val="none"/>
              </w:rPr>
              <w:t>0</w:t>
            </w:r>
            <w:r>
              <w:rPr>
                <w:rFonts w:ascii="Times New Roman" w:hAnsi="Times New Roman" w:eastAsia="Times New Roman" w:cs="Times New Roman"/>
                <w:color w:val="auto"/>
                <w:spacing w:val="-1"/>
                <w:sz w:val="21"/>
                <w:szCs w:val="21"/>
                <w:highlight w:val="none"/>
              </w:rPr>
              <w:t>0</w:t>
            </w:r>
            <w:r>
              <w:rPr>
                <w:rFonts w:ascii="仿宋" w:hAnsi="仿宋" w:eastAsia="仿宋" w:cs="仿宋"/>
                <w:color w:val="auto"/>
                <w:spacing w:val="-1"/>
                <w:sz w:val="21"/>
                <w:szCs w:val="21"/>
                <w:highlight w:val="none"/>
              </w:rPr>
              <w:t>米高度标准递增</w:t>
            </w:r>
            <w:r>
              <w:rPr>
                <w:rFonts w:ascii="Times New Roman" w:hAnsi="Times New Roman" w:eastAsia="Times New Roman" w:cs="Times New Roman"/>
                <w:color w:val="auto"/>
                <w:spacing w:val="-1"/>
                <w:sz w:val="21"/>
                <w:szCs w:val="21"/>
                <w:highlight w:val="none"/>
              </w:rPr>
              <w:t>4</w:t>
            </w:r>
            <w:r>
              <w:rPr>
                <w:rFonts w:ascii="仿宋" w:hAnsi="仿宋" w:eastAsia="仿宋" w:cs="仿宋"/>
                <w:color w:val="auto"/>
                <w:spacing w:val="-1"/>
                <w:sz w:val="21"/>
                <w:szCs w:val="21"/>
                <w:highlight w:val="none"/>
              </w:rPr>
              <w:t>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239" w:type="pct"/>
            <w:vMerge w:val="continue"/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6" w:type="pct"/>
            <w:vMerge w:val="restart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before="68" w:line="254" w:lineRule="auto"/>
              <w:ind w:left="424" w:leftChars="100" w:right="225" w:hanging="214" w:hangingChars="10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原</w:t>
            </w: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地跳高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16"/>
                <w:sz w:val="21"/>
                <w:szCs w:val="21"/>
              </w:rPr>
              <w:t>(</w:t>
            </w:r>
            <w:r>
              <w:rPr>
                <w:rFonts w:ascii="黑体" w:hAnsi="黑体" w:eastAsia="黑体" w:cs="黑体"/>
                <w:spacing w:val="15"/>
                <w:sz w:val="21"/>
                <w:szCs w:val="21"/>
              </w:rPr>
              <w:t>厘米)</w:t>
            </w:r>
          </w:p>
        </w:tc>
        <w:tc>
          <w:tcPr>
            <w:tcW w:w="383" w:type="pct"/>
            <w:vAlign w:val="top"/>
          </w:tcPr>
          <w:p>
            <w:pPr>
              <w:spacing w:before="265" w:line="188" w:lineRule="auto"/>
              <w:ind w:left="245" w:leftChars="0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pacing w:val="-1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00" w:type="pct"/>
            <w:vAlign w:val="top"/>
          </w:tcPr>
          <w:p>
            <w:pPr>
              <w:spacing w:before="265" w:line="188" w:lineRule="auto"/>
              <w:ind w:left="247" w:leftChars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7</w:t>
            </w:r>
          </w:p>
        </w:tc>
        <w:tc>
          <w:tcPr>
            <w:tcW w:w="400" w:type="pct"/>
            <w:vAlign w:val="top"/>
          </w:tcPr>
          <w:p>
            <w:pPr>
              <w:spacing w:before="265" w:line="188" w:lineRule="auto"/>
              <w:ind w:left="257" w:leftChars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0</w:t>
            </w:r>
          </w:p>
        </w:tc>
        <w:tc>
          <w:tcPr>
            <w:tcW w:w="400" w:type="pct"/>
            <w:vAlign w:val="top"/>
          </w:tcPr>
          <w:p>
            <w:pPr>
              <w:spacing w:before="265" w:line="188" w:lineRule="auto"/>
              <w:ind w:left="260" w:leftChars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3</w:t>
            </w:r>
          </w:p>
        </w:tc>
        <w:tc>
          <w:tcPr>
            <w:tcW w:w="402" w:type="pct"/>
            <w:vAlign w:val="top"/>
          </w:tcPr>
          <w:p>
            <w:pPr>
              <w:spacing w:before="268" w:line="185" w:lineRule="auto"/>
              <w:ind w:left="263" w:leftChars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</w:t>
            </w:r>
          </w:p>
        </w:tc>
        <w:tc>
          <w:tcPr>
            <w:tcW w:w="400" w:type="pct"/>
            <w:vAlign w:val="top"/>
          </w:tcPr>
          <w:p>
            <w:pPr>
              <w:spacing w:before="268" w:line="185" w:lineRule="auto"/>
              <w:ind w:left="263" w:leftChars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7</w:t>
            </w:r>
          </w:p>
        </w:tc>
        <w:tc>
          <w:tcPr>
            <w:tcW w:w="400" w:type="pct"/>
            <w:vAlign w:val="top"/>
          </w:tcPr>
          <w:p>
            <w:pPr>
              <w:spacing w:before="265" w:line="188" w:lineRule="auto"/>
              <w:ind w:left="266" w:leftChars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0</w:t>
            </w:r>
          </w:p>
        </w:tc>
        <w:tc>
          <w:tcPr>
            <w:tcW w:w="402" w:type="pct"/>
            <w:vAlign w:val="top"/>
          </w:tcPr>
          <w:p>
            <w:pPr>
              <w:spacing w:before="265" w:line="188" w:lineRule="auto"/>
              <w:ind w:left="269" w:leftChars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3</w:t>
            </w:r>
          </w:p>
        </w:tc>
        <w:tc>
          <w:tcPr>
            <w:tcW w:w="400" w:type="pct"/>
            <w:vAlign w:val="top"/>
          </w:tcPr>
          <w:p>
            <w:pPr>
              <w:spacing w:before="265" w:line="188" w:lineRule="auto"/>
              <w:ind w:left="270" w:leftChars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</w:t>
            </w:r>
          </w:p>
        </w:tc>
        <w:tc>
          <w:tcPr>
            <w:tcW w:w="424" w:type="pct"/>
            <w:gridSpan w:val="2"/>
            <w:vAlign w:val="top"/>
          </w:tcPr>
          <w:p>
            <w:pPr>
              <w:spacing w:before="265" w:line="188" w:lineRule="auto"/>
              <w:ind w:left="273" w:leftChars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2" w:hRule="atLeast"/>
        </w:trPr>
        <w:tc>
          <w:tcPr>
            <w:tcW w:w="239" w:type="pct"/>
            <w:vMerge w:val="continue"/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6" w:type="pct"/>
            <w:vMerge w:val="continue"/>
            <w:vAlign w:val="top"/>
          </w:tcPr>
          <w:p>
            <w:pPr>
              <w:spacing w:before="3" w:line="210" w:lineRule="auto"/>
              <w:ind w:left="110" w:right="30" w:firstLine="407"/>
              <w:rPr>
                <w:rFonts w:ascii="仿宋" w:hAnsi="仿宋" w:eastAsia="仿宋" w:cs="仿宋"/>
                <w:spacing w:val="-5"/>
                <w:sz w:val="21"/>
                <w:szCs w:val="21"/>
              </w:rPr>
            </w:pPr>
          </w:p>
        </w:tc>
        <w:tc>
          <w:tcPr>
            <w:tcW w:w="4013" w:type="pct"/>
            <w:gridSpan w:val="11"/>
            <w:vAlign w:val="center"/>
          </w:tcPr>
          <w:p>
            <w:pPr>
              <w:spacing w:before="3" w:line="210" w:lineRule="auto"/>
              <w:ind w:left="110" w:right="30" w:firstLine="407"/>
              <w:jc w:val="both"/>
              <w:rPr>
                <w:rFonts w:ascii="仿宋" w:hAnsi="仿宋" w:eastAsia="仿宋" w:cs="仿宋"/>
                <w:spacing w:val="-5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1.单个或分组考核。</w:t>
            </w:r>
          </w:p>
          <w:p>
            <w:pPr>
              <w:spacing w:before="3" w:line="210" w:lineRule="auto"/>
              <w:ind w:left="110" w:right="30" w:firstLine="407"/>
              <w:jc w:val="both"/>
              <w:rPr>
                <w:rFonts w:ascii="仿宋" w:hAnsi="仿宋" w:eastAsia="仿宋" w:cs="仿宋"/>
                <w:spacing w:val="-5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2.考生双脚站立靠墙，单手伸直标记中指最高触墙点(示指高度)，双脚立定垂直跳起，以单手指尖触墙，测量示指高度与跳起触墙高度之间的距离。两次测试，记录成绩较好的1次。</w:t>
            </w:r>
          </w:p>
          <w:p>
            <w:pPr>
              <w:spacing w:before="3" w:line="210" w:lineRule="auto"/>
              <w:ind w:left="110" w:right="30" w:firstLine="407"/>
              <w:jc w:val="both"/>
              <w:rPr>
                <w:rFonts w:ascii="仿宋" w:hAnsi="仿宋" w:eastAsia="仿宋" w:cs="仿宋"/>
                <w:spacing w:val="-5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3.考核以完成跳起高度计算成绩。</w:t>
            </w:r>
          </w:p>
          <w:p>
            <w:pPr>
              <w:spacing w:before="3" w:line="210" w:lineRule="auto"/>
              <w:ind w:left="110" w:right="30" w:firstLine="407"/>
              <w:jc w:val="both"/>
              <w:rPr>
                <w:rFonts w:hint="default" w:ascii="仿宋" w:hAnsi="仿宋" w:eastAsia="仿宋" w:cs="仿宋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4.得分超出10分的，每递增3厘米增加1分</w:t>
            </w:r>
            <w:r>
              <w:rPr>
                <w:rFonts w:hint="eastAsia" w:ascii="仿宋" w:hAnsi="仿宋" w:eastAsia="仿宋" w:cs="仿宋"/>
                <w:spacing w:val="-5"/>
                <w:sz w:val="21"/>
                <w:szCs w:val="21"/>
                <w:lang w:eastAsia="zh-CN"/>
              </w:rPr>
              <w:t>，</w:t>
            </w: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最高</w:t>
            </w:r>
            <w:r>
              <w:rPr>
                <w:rFonts w:hint="eastAsia" w:ascii="仿宋" w:hAnsi="仿宋" w:eastAsia="仿宋" w:cs="仿宋"/>
                <w:spacing w:val="-5"/>
                <w:sz w:val="21"/>
                <w:szCs w:val="21"/>
              </w:rPr>
              <w:t>15</w:t>
            </w: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pct"/>
          <w:trHeight w:val="2052" w:hRule="atLeast"/>
        </w:trPr>
        <w:tc>
          <w:tcPr>
            <w:tcW w:w="239" w:type="pct"/>
            <w:vAlign w:val="center"/>
          </w:tcPr>
          <w:p>
            <w:pPr>
              <w:spacing w:before="222" w:line="207" w:lineRule="auto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4"/>
                <w:sz w:val="21"/>
                <w:szCs w:val="21"/>
              </w:rPr>
              <w:t>备</w:t>
            </w:r>
            <w:r>
              <w:rPr>
                <w:rFonts w:ascii="黑体" w:hAnsi="黑体" w:eastAsia="黑体" w:cs="黑体"/>
                <w:spacing w:val="-13"/>
                <w:sz w:val="21"/>
                <w:szCs w:val="21"/>
              </w:rPr>
              <w:t xml:space="preserve"> 注</w:t>
            </w:r>
          </w:p>
        </w:tc>
        <w:tc>
          <w:tcPr>
            <w:tcW w:w="4756" w:type="pct"/>
            <w:gridSpan w:val="11"/>
            <w:vAlign w:val="center"/>
          </w:tcPr>
          <w:p>
            <w:pPr>
              <w:spacing w:before="3" w:line="210" w:lineRule="auto"/>
              <w:ind w:left="110" w:right="30" w:firstLine="407"/>
              <w:jc w:val="both"/>
              <w:rPr>
                <w:rFonts w:ascii="仿宋" w:hAnsi="仿宋" w:eastAsia="仿宋" w:cs="仿宋"/>
                <w:spacing w:val="-5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5"/>
                <w:sz w:val="21"/>
                <w:szCs w:val="21"/>
                <w:lang w:val="en-US" w:eastAsia="zh-CN"/>
              </w:rPr>
              <w:t xml:space="preserve">1.总成绩最高 </w:t>
            </w:r>
            <w:r>
              <w:rPr>
                <w:rFonts w:hint="default" w:ascii="仿宋" w:hAnsi="仿宋" w:eastAsia="仿宋" w:cs="仿宋"/>
                <w:spacing w:val="-5"/>
                <w:sz w:val="21"/>
                <w:szCs w:val="21"/>
                <w:lang w:val="en-US" w:eastAsia="zh-CN"/>
              </w:rPr>
              <w:t>40 分，单项未取得有效成绩的不予招录。</w:t>
            </w:r>
          </w:p>
          <w:p>
            <w:pPr>
              <w:spacing w:before="3" w:line="210" w:lineRule="auto"/>
              <w:ind w:left="110" w:right="30" w:firstLine="407"/>
              <w:jc w:val="both"/>
              <w:rPr>
                <w:rFonts w:ascii="仿宋" w:hAnsi="仿宋" w:eastAsia="仿宋" w:cs="仿宋"/>
                <w:spacing w:val="-5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spacing w:val="-5"/>
                <w:sz w:val="21"/>
                <w:szCs w:val="21"/>
                <w:lang w:val="en-US" w:eastAsia="zh-CN"/>
              </w:rPr>
              <w:t>2.高原地区应在海拔 4000 米以下集中组织体能测试。</w:t>
            </w:r>
          </w:p>
          <w:p>
            <w:pPr>
              <w:spacing w:before="3" w:line="210" w:lineRule="auto"/>
              <w:ind w:left="110" w:right="30" w:firstLine="407"/>
              <w:jc w:val="both"/>
              <w:rPr>
                <w:rFonts w:hint="default" w:ascii="仿宋" w:hAnsi="仿宋" w:eastAsia="仿宋" w:cs="仿宋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pacing w:val="-5"/>
                <w:sz w:val="21"/>
                <w:szCs w:val="21"/>
                <w:lang w:val="en-US" w:eastAsia="zh-CN"/>
              </w:rPr>
              <w:t>3.高原地区消防员招录中“原地跳高、立定跳远、单杠引体向上、俯卧撑”按照内地标准执行。</w:t>
            </w:r>
          </w:p>
          <w:p>
            <w:pPr>
              <w:spacing w:before="3" w:line="210" w:lineRule="auto"/>
              <w:ind w:left="110" w:right="30" w:firstLine="407"/>
              <w:jc w:val="both"/>
              <w:rPr>
                <w:rFonts w:hint="default" w:ascii="仿宋" w:hAnsi="仿宋" w:eastAsia="仿宋" w:cs="仿宋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pacing w:val="-5"/>
                <w:sz w:val="21"/>
                <w:szCs w:val="21"/>
                <w:lang w:val="en-US" w:eastAsia="zh-CN"/>
              </w:rPr>
              <w:t>4.测试项目及标准中“以上”“以下”均含本级、本数。</w:t>
            </w:r>
          </w:p>
          <w:p>
            <w:pPr>
              <w:spacing w:before="3" w:line="210" w:lineRule="auto"/>
              <w:ind w:left="110" w:right="30" w:firstLine="407"/>
              <w:jc w:val="both"/>
              <w:rPr>
                <w:rFonts w:ascii="仿宋" w:hAnsi="仿宋" w:eastAsia="仿宋" w:cs="仿宋"/>
                <w:spacing w:val="-5"/>
                <w:sz w:val="21"/>
                <w:szCs w:val="21"/>
              </w:rPr>
            </w:pPr>
          </w:p>
        </w:tc>
      </w:tr>
    </w:tbl>
    <w:p>
      <w:pPr>
        <w:rPr>
          <w:rFonts w:ascii="Arial"/>
          <w:sz w:val="21"/>
        </w:rPr>
      </w:pPr>
    </w:p>
    <w:sectPr>
      <w:pgSz w:w="11905" w:h="16840"/>
      <w:pgMar w:top="1431" w:right="1450" w:bottom="0" w:left="1449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ThlNTFmZDczZWQzN2M3ZmRkMTBmMGMyNzVjZTA1NGUifQ=="/>
  </w:docVars>
  <w:rsids>
    <w:rsidRoot w:val="00000000"/>
    <w:rsid w:val="02410A68"/>
    <w:rsid w:val="09A17C56"/>
    <w:rsid w:val="0ABC492C"/>
    <w:rsid w:val="0B1A2EE1"/>
    <w:rsid w:val="0C4D6515"/>
    <w:rsid w:val="0E19264E"/>
    <w:rsid w:val="0EA77ABC"/>
    <w:rsid w:val="0EDC703A"/>
    <w:rsid w:val="10DF6C28"/>
    <w:rsid w:val="127A7296"/>
    <w:rsid w:val="14987307"/>
    <w:rsid w:val="14E92E5B"/>
    <w:rsid w:val="16E318AE"/>
    <w:rsid w:val="19487815"/>
    <w:rsid w:val="1C976C31"/>
    <w:rsid w:val="1E87469A"/>
    <w:rsid w:val="1F8542F5"/>
    <w:rsid w:val="21621621"/>
    <w:rsid w:val="21D4483C"/>
    <w:rsid w:val="25E059B1"/>
    <w:rsid w:val="261D1FBA"/>
    <w:rsid w:val="27176ACD"/>
    <w:rsid w:val="276912E6"/>
    <w:rsid w:val="288B288C"/>
    <w:rsid w:val="2A8940C2"/>
    <w:rsid w:val="2B8E7BE2"/>
    <w:rsid w:val="2CAF64F1"/>
    <w:rsid w:val="2DAF2092"/>
    <w:rsid w:val="2EF21FE8"/>
    <w:rsid w:val="337173AC"/>
    <w:rsid w:val="350D1161"/>
    <w:rsid w:val="352C0137"/>
    <w:rsid w:val="377B5E9E"/>
    <w:rsid w:val="37D42E21"/>
    <w:rsid w:val="37F90FA5"/>
    <w:rsid w:val="3A2A1477"/>
    <w:rsid w:val="3A5B36A5"/>
    <w:rsid w:val="3E454087"/>
    <w:rsid w:val="3F002601"/>
    <w:rsid w:val="41223571"/>
    <w:rsid w:val="42845443"/>
    <w:rsid w:val="43A86F10"/>
    <w:rsid w:val="43B753A5"/>
    <w:rsid w:val="46274162"/>
    <w:rsid w:val="49557B3A"/>
    <w:rsid w:val="497A2AC7"/>
    <w:rsid w:val="498B355B"/>
    <w:rsid w:val="49F033BE"/>
    <w:rsid w:val="4B3B2AFE"/>
    <w:rsid w:val="4B8C09F4"/>
    <w:rsid w:val="4BB74194"/>
    <w:rsid w:val="4C7777C7"/>
    <w:rsid w:val="4F072944"/>
    <w:rsid w:val="50C769DA"/>
    <w:rsid w:val="514069D9"/>
    <w:rsid w:val="520D0FB1"/>
    <w:rsid w:val="52132340"/>
    <w:rsid w:val="526176D1"/>
    <w:rsid w:val="559E3640"/>
    <w:rsid w:val="5B2555BE"/>
    <w:rsid w:val="5B7C0F56"/>
    <w:rsid w:val="5BFD0B47"/>
    <w:rsid w:val="5C7C5B98"/>
    <w:rsid w:val="5C9F582C"/>
    <w:rsid w:val="5E4E6BDA"/>
    <w:rsid w:val="5ED03A93"/>
    <w:rsid w:val="5F7D4FBE"/>
    <w:rsid w:val="60227E12"/>
    <w:rsid w:val="64757037"/>
    <w:rsid w:val="64E33DF4"/>
    <w:rsid w:val="65D21F91"/>
    <w:rsid w:val="665843E4"/>
    <w:rsid w:val="67945FBE"/>
    <w:rsid w:val="67C57EB8"/>
    <w:rsid w:val="68DC0E16"/>
    <w:rsid w:val="68FB795E"/>
    <w:rsid w:val="693933D7"/>
    <w:rsid w:val="6B172DA6"/>
    <w:rsid w:val="6B1E4946"/>
    <w:rsid w:val="6FB45DA0"/>
    <w:rsid w:val="704E686A"/>
    <w:rsid w:val="725B76BF"/>
    <w:rsid w:val="73AD3880"/>
    <w:rsid w:val="74EA042C"/>
    <w:rsid w:val="782F4F2E"/>
    <w:rsid w:val="78844338"/>
    <w:rsid w:val="79377E91"/>
    <w:rsid w:val="7AC801E8"/>
    <w:rsid w:val="7B292109"/>
    <w:rsid w:val="7BDF4EBD"/>
    <w:rsid w:val="7CA266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1902</Words>
  <Characters>2296</Characters>
  <TotalTime>60</TotalTime>
  <ScaleCrop>false</ScaleCrop>
  <LinksUpToDate>false</LinksUpToDate>
  <CharactersWithSpaces>2542</CharactersWithSpaces>
  <Application>WPS Office_12.1.0.16120_F1E327BC-269C-435d-A152-05C5408002CA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2019-01-24T16:31:00Z</dcterms:created>
  <dc:creator>635</dc:creator>
  <cp:lastModifiedBy>Administrator</cp:lastModifiedBy>
  <cp:lastPrinted>2024-01-15T06:52:00Z</cp:lastPrinted>
  <dcterms:modified xsi:type="dcterms:W3CDTF">2024-01-16T02:26:42Z</dcterms:modified>
  <dc:title>&lt;4D6963726F736F667420576F7264202D20B8BDBCFE32A3BAD5D0C2BCCFFBB7C0D4B1CCE5C4DCB2E2CAD4B8DACEBBCACAD3A6D0D4B2E2CAD4CFEEC4BFBACDB1EAD7BCA3A83230313930313230A3A9&gt;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2023-04-04T09:59:59Z</vt:filetime>
  </property>
  <property fmtid="{D5CDD505-2E9C-101B-9397-08002B2CF9AE}" pid="4" name="KSOProductBuildVer">
    <vt:lpwstr>2052-12.1.0.16120</vt:lpwstr>
  </property>
  <property fmtid="{D5CDD505-2E9C-101B-9397-08002B2CF9AE}" pid="5" name="ICV">
    <vt:lpwstr>CF6E1F9230BD422EAD8F5ABA0465E2C7_13</vt:lpwstr>
  </property>
</Properties>
</file>