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宋体" w:eastAsia="方正小标宋简体"/>
          <w:bCs/>
          <w:spacing w:val="-4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/>
          <w:bCs/>
          <w:spacing w:val="-4"/>
          <w:sz w:val="44"/>
          <w:szCs w:val="44"/>
          <w:highlight w:val="none"/>
          <w:lang w:eastAsia="zh-CN"/>
        </w:rPr>
        <w:t>国家粮食和物资储备局陕西局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/>
          <w:bCs/>
          <w:spacing w:val="-4"/>
          <w:sz w:val="44"/>
          <w:szCs w:val="44"/>
          <w:highlight w:val="none"/>
        </w:rPr>
        <w:t>20</w:t>
      </w:r>
      <w:r>
        <w:rPr>
          <w:rFonts w:hint="eastAsia" w:ascii="方正小标宋简体" w:hAnsi="宋体" w:eastAsia="方正小标宋简体"/>
          <w:bCs/>
          <w:spacing w:val="-4"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宋体" w:eastAsia="方正小标宋简体"/>
          <w:bCs/>
          <w:spacing w:val="-4"/>
          <w:sz w:val="44"/>
          <w:szCs w:val="44"/>
          <w:highlight w:val="none"/>
        </w:rPr>
        <w:t>年度</w:t>
      </w:r>
      <w:r>
        <w:rPr>
          <w:rFonts w:hint="eastAsia" w:ascii="方正小标宋简体" w:hAnsi="宋体" w:eastAsia="方正小标宋简体"/>
          <w:bCs/>
          <w:sz w:val="44"/>
          <w:szCs w:val="44"/>
          <w:highlight w:val="none"/>
          <w:shd w:val="clear" w:color="auto" w:fill="FFFFFF"/>
        </w:rPr>
        <w:t>考试录用公务员面试公告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/>
        <w:textAlignment w:val="auto"/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6"/>
          <w:szCs w:val="36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根据公务员法和公务员录用有关规定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，现就20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国家粮食和物资储备局陕西局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考试录用公务员面试有关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通知如下：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left="1363" w:hanging="720"/>
        <w:textAlignment w:val="auto"/>
        <w:rPr>
          <w:rFonts w:hint="eastAsia" w:eastAsia="黑体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eastAsia="黑体"/>
          <w:sz w:val="32"/>
          <w:szCs w:val="32"/>
          <w:highlight w:val="none"/>
          <w:shd w:val="clear" w:color="auto" w:fill="FFFFFF"/>
        </w:rPr>
        <w:t>一、面试名单</w:t>
      </w:r>
      <w:r>
        <w:rPr>
          <w:rFonts w:hint="eastAsia" w:eastAsia="黑体"/>
          <w:sz w:val="32"/>
          <w:szCs w:val="32"/>
          <w:highlight w:val="none"/>
          <w:shd w:val="clear" w:color="auto" w:fill="FFFFFF"/>
          <w:lang w:eastAsia="zh-CN"/>
        </w:rPr>
        <w:t>（按照准考证号排序）</w:t>
      </w:r>
    </w:p>
    <w:tbl>
      <w:tblPr>
        <w:tblStyle w:val="7"/>
        <w:tblW w:w="86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058"/>
        <w:gridCol w:w="2060"/>
        <w:gridCol w:w="1370"/>
        <w:gridCol w:w="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bookmarkStart w:id="0" w:name="RANGE!B4:F45"/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职位</w:t>
            </w:r>
            <w:bookmarkEnd w:id="0"/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名称及代码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进入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highlight w:val="none"/>
              </w:rPr>
              <w:t>分数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面试时间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kern w:val="0"/>
                <w:sz w:val="28"/>
                <w:szCs w:val="28"/>
                <w:highlight w:val="none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执法督查处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一级主任科员及以下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300110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0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001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128.2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瑾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160114011401802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eastAsia="仿宋_GB2312"/>
                <w:b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白调调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160114260300718</w:t>
            </w: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聂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栋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  <w:t>160161010105803</w:t>
            </w: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营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160161010110823</w:t>
            </w: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梦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160161010114029</w:t>
            </w: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粮棉糖和救灾物资监管处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一级主任科员及以下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300110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0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00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9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134.5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刘远锦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160114011701624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highlight w:val="none"/>
                <w:lang w:val="en-US" w:eastAsia="zh-CN"/>
              </w:rPr>
              <w:t>3月9日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敏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160132020502904</w:t>
            </w:r>
          </w:p>
        </w:tc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姜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悦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160133010309917</w:t>
            </w:r>
          </w:p>
        </w:tc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刘星麟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160141160100530</w:t>
            </w:r>
          </w:p>
        </w:tc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姬晨曦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160144010400619</w:t>
            </w:r>
          </w:p>
        </w:tc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安全仓储与科技处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一级主任科员及以下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300110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0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00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131.9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潘英洲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160123017600712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eastAsia="仿宋_GB2312"/>
                <w:b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陈子龙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160132010202528</w:t>
            </w: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张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艺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160132020500528</w:t>
            </w: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荣雪峰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160144010113406</w:t>
            </w: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彭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烜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160161010109416</w:t>
            </w: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textAlignment w:val="auto"/>
        <w:rPr>
          <w:rFonts w:eastAsia="黑体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sz w:val="32"/>
          <w:szCs w:val="32"/>
          <w:highlight w:val="none"/>
          <w:shd w:val="clear" w:color="auto" w:fill="FFFFFF"/>
        </w:rPr>
        <w:t>二、面试确认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请进入面试的考生于20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 xml:space="preserve">时前确认是否参加面试，确认方式为电子邮件和传真。要求如下：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instrText xml:space="preserve">HYPERLINK "mailto:1.发送邮件至ziqrsc@163.com"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（一）发送电子邮件至sxcbjlrc@yeah.net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，并同时传真到029-68291903。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邮件和传真标题统一写成“XXX确认参加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国家粮食和物资储备局陕西局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处一级主任科员及以下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职位面试”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内容见附件1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。如网上报名时填报的通讯地址、联系方式等信息发生变化，请在电子邮件和传真中注明。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（三）逾期未确认的，视为自动放弃面试资格。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放弃面试的考生请填写《放弃面试资格声明》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（详见附件2），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经本人签名，于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时前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传真至029-682919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或发送扫描件至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HYPERLINK "mailto:1.发送邮件至ziqrsc@163.com"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sxcbjlrc@yeah.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net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未在规定时间内填报放弃声明，又因个人原因不参加面试的，视情节轻重记入诚信档案。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rPr>
          <w:rFonts w:hint="eastAsia" w:eastAsia="黑体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sz w:val="32"/>
          <w:szCs w:val="32"/>
          <w:highlight w:val="none"/>
          <w:shd w:val="clear" w:color="auto" w:fill="FFFFFF"/>
        </w:rPr>
        <w:t>三、资格复审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参加面试的考生，请于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2月26日17时前将以下材料的扫描件发送至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HYPERLINK "mailto:1.发送邮件至ziqrsc@163.com"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sxcbjlrc@yeah.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net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接受资格审查（可随确认参加面试的电子邮件一并发送），并于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时携带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纸质版</w:t>
      </w:r>
      <w:r>
        <w:rPr>
          <w:rFonts w:eastAsia="仿宋_GB2312"/>
          <w:sz w:val="32"/>
          <w:szCs w:val="32"/>
          <w:highlight w:val="none"/>
        </w:rPr>
        <w:t>材料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国家粮食和物资储备局陕西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局人事处接受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资格复审。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原件及复印件（身份证请正反面复印在同一页纸上），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1张1寸免冠蓝底彩色照片（背面注明姓名及报考职位）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二）</w:t>
      </w:r>
      <w:r>
        <w:rPr>
          <w:rFonts w:eastAsia="仿宋_GB2312"/>
          <w:color w:val="auto"/>
          <w:sz w:val="32"/>
          <w:szCs w:val="32"/>
          <w:highlight w:val="none"/>
        </w:rPr>
        <w:t>公共科目笔试准考证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，内容应清晰，准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考证丢失的可截图并打印报名系统相关页面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考试报名登记表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请提供两份，一份通过报名系统直接打印导出，不得修改，无需本人照片；另一份按照附件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3的模板重新填写，应更新到最新情况，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贴好照片，如实、详细填写个人学习、工作经历，时间必须连续，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注明各学习阶段是否在职学习，取得何种学历和学位。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（四）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学历学位证书等材料。</w:t>
      </w:r>
      <w:r>
        <w:rPr>
          <w:rFonts w:eastAsia="仿宋_GB2312"/>
          <w:sz w:val="32"/>
          <w:szCs w:val="32"/>
          <w:highlight w:val="none"/>
        </w:rPr>
        <w:t>本（专）科、研究生各阶段学历、学位证书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原件及</w:t>
      </w:r>
      <w:r>
        <w:rPr>
          <w:rFonts w:eastAsia="仿宋_GB2312"/>
          <w:sz w:val="32"/>
          <w:szCs w:val="32"/>
          <w:highlight w:val="none"/>
        </w:rPr>
        <w:t>复印件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，教育部学历、学位查询系统打印的学历、学位查询结果。留学回国人员提供教</w:t>
      </w:r>
      <w:r>
        <w:rPr>
          <w:rFonts w:hint="eastAsia" w:eastAsia="仿宋_GB2312"/>
          <w:sz w:val="32"/>
          <w:szCs w:val="32"/>
          <w:highlight w:val="none"/>
        </w:rPr>
        <w:t>育部留学服务中心认证的</w:t>
      </w:r>
      <w:r>
        <w:rPr>
          <w:rFonts w:eastAsia="仿宋_GB2312"/>
          <w:sz w:val="32"/>
          <w:szCs w:val="32"/>
          <w:highlight w:val="none"/>
        </w:rPr>
        <w:t>国外</w:t>
      </w:r>
      <w:r>
        <w:rPr>
          <w:rFonts w:hint="eastAsia" w:eastAsia="仿宋_GB2312"/>
          <w:sz w:val="32"/>
          <w:szCs w:val="32"/>
          <w:highlight w:val="none"/>
        </w:rPr>
        <w:t>学历</w:t>
      </w:r>
      <w:r>
        <w:rPr>
          <w:rFonts w:eastAsia="仿宋_GB2312"/>
          <w:sz w:val="32"/>
          <w:szCs w:val="32"/>
          <w:highlight w:val="none"/>
        </w:rPr>
        <w:t>学位认证书。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同时还请提供</w:t>
      </w:r>
      <w:r>
        <w:rPr>
          <w:rFonts w:hint="eastAsia" w:eastAsia="仿宋_GB2312"/>
          <w:sz w:val="32"/>
          <w:szCs w:val="32"/>
          <w:highlight w:val="none"/>
        </w:rPr>
        <w:t>所报职位要求的</w:t>
      </w:r>
      <w:r>
        <w:rPr>
          <w:rFonts w:eastAsia="仿宋_GB2312"/>
          <w:sz w:val="32"/>
          <w:szCs w:val="32"/>
          <w:highlight w:val="none"/>
        </w:rPr>
        <w:t>外语等级证书</w:t>
      </w:r>
      <w:r>
        <w:rPr>
          <w:rFonts w:hint="eastAsia" w:eastAsia="仿宋_GB2312"/>
          <w:sz w:val="32"/>
          <w:szCs w:val="32"/>
          <w:highlight w:val="none"/>
        </w:rPr>
        <w:t>、职业资格证书等材料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原件及复印件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（五）政治面貌材料。若考生政治面貌为中共党员，请提供所在党组织出具的材料，需写清楚姓名、出生年月、入党时间和转正时间，并加盖党组织印章。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（六）基层工作经历有关材料。事业单位工作过的考生（在编人员），提供聘用合同等相关材料。在企业、社会组织等单位工作过的考生，需同时提供满足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2年的劳动合同和对应时间的社保缴纳记录。多段工作经历累计满2年的考生，需附前续工作的离职或解除劳动关系相关材料。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）其他材料：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社会在职人员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提供所在单位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出具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同意报考函（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须注明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现工作单位工作开始时间和当前职位，加盖单位人事部门公章或单位公章）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待业人员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提供最近一次工作的离职或解除劳动关系相关材料。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3月8日上午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参加资格复审的考生，还应现场提交《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考生承诺书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考生应对所提供材料的真实性负责，材料不全或主要信息不实，影响资格审查结果的，将取消面试资格。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四、面试安排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面试将采取现场面试方式进行。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（一）面试于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进行，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开始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请参加面试的考生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随身携带身份证、准考证，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当日上午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0前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面试地点报到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并进行抽签，抽签结束后由工作人员引导进入候考室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  <w:lang w:eastAsia="zh-CN"/>
        </w:rPr>
        <w:t>未在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0前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  <w:lang w:eastAsia="zh-CN"/>
        </w:rPr>
        <w:t>报到并按要求参加抽签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的考生，取消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试资格。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（二）面试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报到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地点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为国家粮食和物资储备局陕西局一楼大厅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陕西省西安市新城区长缨西路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369号。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（三）面试实行集中封闭式管理。我们将根据工作进度提供午餐及饮用水，如有特殊用餐需求，请提前联系。面试考生应自行安排好交通住宿等事项，确保按时参加面试。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五</w:t>
      </w:r>
      <w:r>
        <w:rPr>
          <w:rFonts w:eastAsia="黑体"/>
          <w:sz w:val="32"/>
          <w:szCs w:val="32"/>
          <w:highlight w:val="none"/>
        </w:rPr>
        <w:t>、</w:t>
      </w:r>
      <w:r>
        <w:rPr>
          <w:rFonts w:hint="eastAsia" w:eastAsia="黑体"/>
          <w:sz w:val="32"/>
          <w:szCs w:val="32"/>
          <w:highlight w:val="none"/>
        </w:rPr>
        <w:t>体检和考察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14" w:firstLineChars="19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（一）综合成绩计算方式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14" w:firstLineChars="19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综合成绩计算: 综合成绩 =（笔试总成绩÷2）×50% + 面试成绩×50%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14" w:firstLineChars="192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（二）体检和考察人选的确定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14" w:firstLineChars="192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试后按综合成绩从高到低的顺序，参考政治素质、专业素养、工作经历、岗位匹配度等因素，按照1:1比例等额确定体检和考察人选。参加面试人数与录用计划人数比例低于3:1的，考生面试成绩需达到70分及以上，方可按照1:1比例等额进入体检和考察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  <w:highlight w:val="none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（三）体检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shd w:val="clear" w:color="auto" w:fill="FFFFFF"/>
          <w:lang w:eastAsia="zh-CN"/>
        </w:rPr>
        <w:t>面试结束后，</w:t>
      </w:r>
      <w:r>
        <w:rPr>
          <w:rFonts w:hint="eastAsia" w:ascii="仿宋_GB2312" w:hAnsi="仿宋_GB2312" w:eastAsia="仿宋_GB2312" w:cs="仿宋_GB2312"/>
          <w:highlight w:val="none"/>
          <w:shd w:val="clear" w:color="auto" w:fill="FFFFFF"/>
          <w:lang w:val="en-US" w:eastAsia="zh-CN"/>
        </w:rPr>
        <w:t>拟于3月11日上午组织体检，届时</w:t>
      </w:r>
      <w:r>
        <w:rPr>
          <w:rFonts w:hint="eastAsia" w:ascii="仿宋_GB2312" w:hAnsi="仿宋_GB2312" w:eastAsia="仿宋_GB2312" w:cs="仿宋_GB2312"/>
          <w:highlight w:val="none"/>
          <w:shd w:val="clear" w:color="auto" w:fill="FFFFFF"/>
          <w:lang w:eastAsia="zh-CN"/>
        </w:rPr>
        <w:t>将电话通知参加体检的考生，</w:t>
      </w:r>
      <w:r>
        <w:rPr>
          <w:rFonts w:hint="eastAsia" w:ascii="仿宋_GB2312" w:hAnsi="仿宋_GB2312" w:eastAsia="仿宋_GB2312" w:cs="仿宋_GB2312"/>
          <w:highlight w:val="none"/>
          <w:shd w:val="clear" w:color="auto" w:fill="FFFFFF"/>
        </w:rPr>
        <w:t>请</w:t>
      </w:r>
      <w:r>
        <w:rPr>
          <w:rFonts w:hint="eastAsia" w:ascii="仿宋_GB2312" w:hAnsi="仿宋_GB2312" w:eastAsia="仿宋_GB2312" w:cs="仿宋_GB2312"/>
          <w:highlight w:val="none"/>
          <w:shd w:val="clear" w:color="auto" w:fill="FFFFFF"/>
          <w:lang w:val="en-US" w:eastAsia="zh-CN"/>
        </w:rPr>
        <w:t>保持电话畅通，</w:t>
      </w:r>
      <w:r>
        <w:rPr>
          <w:rFonts w:hint="eastAsia" w:ascii="仿宋_GB2312" w:hAnsi="仿宋_GB2312" w:eastAsia="仿宋_GB2312" w:cs="仿宋_GB2312"/>
          <w:highlight w:val="none"/>
          <w:shd w:val="clear" w:color="auto" w:fill="FFFFFF"/>
        </w:rPr>
        <w:t>合理安排好行程，</w:t>
      </w:r>
      <w:r>
        <w:rPr>
          <w:rFonts w:hint="eastAsia" w:ascii="仿宋_GB2312" w:hAnsi="仿宋_GB2312" w:eastAsia="仿宋_GB2312" w:cs="仿宋_GB2312"/>
          <w:highlight w:val="none"/>
          <w:shd w:val="clear" w:color="auto" w:fill="FFFFFF"/>
          <w:lang w:eastAsia="zh-CN"/>
        </w:rPr>
        <w:t>体检当天</w:t>
      </w:r>
      <w:r>
        <w:rPr>
          <w:rFonts w:hint="eastAsia" w:ascii="仿宋_GB2312" w:hAnsi="仿宋_GB2312" w:eastAsia="仿宋_GB2312" w:cs="仿宋_GB2312"/>
          <w:highlight w:val="none"/>
          <w:shd w:val="clear" w:color="auto" w:fill="FFFFFF"/>
        </w:rPr>
        <w:t>携带</w:t>
      </w:r>
      <w:r>
        <w:rPr>
          <w:rFonts w:hint="eastAsia" w:ascii="仿宋_GB2312" w:hAnsi="仿宋_GB2312" w:eastAsia="仿宋_GB2312" w:cs="仿宋_GB2312"/>
          <w:highlight w:val="none"/>
          <w:shd w:val="clear" w:color="auto" w:fill="FFFFFF"/>
          <w:lang w:eastAsia="zh-CN"/>
        </w:rPr>
        <w:t>本人身份证原件，空腹参加体检</w:t>
      </w:r>
      <w:r>
        <w:rPr>
          <w:rFonts w:hint="eastAsia" w:ascii="仿宋_GB2312" w:hAnsi="仿宋_GB2312" w:eastAsia="仿宋_GB2312" w:cs="仿宋_GB231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highlight w:val="none"/>
          <w:shd w:val="clear" w:color="auto" w:fill="FFFFFF"/>
          <w:lang w:eastAsia="zh-CN"/>
        </w:rPr>
        <w:t>接到体检通知的考生，如不能按时参加体检，视为放弃。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体检费用由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考生本人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承担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，入职后由单位报销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14" w:firstLineChars="192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（四）考察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采取个别谈话、实地走访、审核人事档案、查询社会信用记录、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查询无犯罪记录、家访、</w:t>
      </w:r>
      <w:r>
        <w:rPr>
          <w:rFonts w:eastAsia="仿宋_GB2312"/>
          <w:sz w:val="32"/>
          <w:szCs w:val="32"/>
          <w:highlight w:val="none"/>
        </w:rPr>
        <w:t>同</w:t>
      </w:r>
      <w:r>
        <w:rPr>
          <w:rFonts w:hint="eastAsia" w:eastAsia="仿宋_GB2312"/>
          <w:sz w:val="32"/>
          <w:szCs w:val="32"/>
          <w:highlight w:val="none"/>
        </w:rPr>
        <w:t>本人</w:t>
      </w:r>
      <w:r>
        <w:rPr>
          <w:rFonts w:eastAsia="仿宋_GB2312"/>
          <w:sz w:val="32"/>
          <w:szCs w:val="32"/>
          <w:highlight w:val="none"/>
        </w:rPr>
        <w:t>面谈等方法</w:t>
      </w:r>
      <w:r>
        <w:rPr>
          <w:rFonts w:hint="eastAsia" w:eastAsia="仿宋_GB2312"/>
          <w:sz w:val="32"/>
          <w:szCs w:val="32"/>
          <w:highlight w:val="none"/>
        </w:rPr>
        <w:t>进行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六</w:t>
      </w:r>
      <w:r>
        <w:rPr>
          <w:rFonts w:hint="eastAsia" w:eastAsia="黑体"/>
          <w:sz w:val="32"/>
          <w:szCs w:val="32"/>
          <w:highlight w:val="none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（一）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考录工作坚持公平、公正、公开，坚决抵制考录中的不正之风。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请考生严格遵守面试、体检、考察等相关规定，诚信应考，杜绝一切作弊行为。严格遵守考场纪律，不得携带电子产品进入候考室和面试考场（手机等电子产品须交工作人员临时保管）。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如发现在面试过程中有干扰面试工作正常进行的，将取消相关考生的考录资格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，记入考生诚信档案。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资格复审和面试地点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乘车路线：建议乘坐公交286路、28路、209路、243路、49路、42路、930路、717路到长缨路华清路口站下，向东步行至国家粮食和物资储备局陕西局（三府湾客运站东侧，毗邻莱卡酒店）。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公告发布后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保持手机通讯畅通，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如手机号码与笔试报名时不一致，请及时拨打考务电话告知。如考生未及时告知，所造成的后果由考生本人承担。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联系方式：029-682919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（传真）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029-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682919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考务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电话）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欢迎各位考生对我们的工作进行监督。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附件：1.面试确认内容（样式）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2.放弃面试资格声明（样式）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考生报名登记表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考生承诺书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3680" w:firstLineChars="11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国家粮食和物资储备局陕西局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textAlignment w:val="auto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19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日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eastAsia="黑体"/>
          <w:bCs/>
          <w:color w:val="000000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XXX确认参加国家粮食和物资储备局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  <w:lang w:eastAsia="zh-CN"/>
        </w:rPr>
        <w:t>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处一级主任科员及以下职位面试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4" w:firstLineChars="200"/>
        <w:textAlignment w:val="auto"/>
        <w:rPr>
          <w:b/>
          <w:bCs/>
          <w:color w:val="000000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国家粮食和物资储备局陕西局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，身份证号：XXXXXXXXXXXXXXXXXX，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准考证号：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XXXXXXXXXXX,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公共科目笔试总成绩：XXXXX，报考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国家粮食和物资储备局陕西局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处一级主任科员及以下职位（职位代码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XXXXXXXXXXXX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），已进入该职位面试名单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能够按照规定的时间和要求参加面试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姓名：（传真需手写签名）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b/>
          <w:bCs/>
          <w:color w:val="000000"/>
          <w:spacing w:val="8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4" w:firstLineChars="200"/>
        <w:textAlignment w:val="auto"/>
        <w:rPr>
          <w:b/>
          <w:bCs/>
          <w:color w:val="000000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国家粮食和物资储备局陕西局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，身份证号：XXXXXXXXXXXXXXXXXX，报考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国家粮食和物资储备局陕西局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处一级主任科员及以下职位（职位代码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XXXXXXXXXXXX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联系电话：XXX-XXXXXXXX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姓名：（考生本人手写签名）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textAlignment w:val="auto"/>
        <w:rPr>
          <w:rFonts w:hint="eastAsia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both"/>
        <w:textAlignment w:val="auto"/>
        <w:rPr>
          <w:rFonts w:hint="eastAsia" w:eastAsia="方正仿宋_GBK"/>
          <w:bCs/>
          <w:spacing w:val="8"/>
          <w:sz w:val="84"/>
          <w:szCs w:val="8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考生报名登记表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</w:p>
    <w:tbl>
      <w:tblPr>
        <w:tblStyle w:val="7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彩色证件照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1993年08月--1999年07月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1999年08月--2002年06月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在职，硕士研究生，工学硕士）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exac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2013年09月--2014年05月  待业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2014年05月至今           XXXX公司XXX部门XXX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（工作经历时间需连续，不可与全日制学习经历时间有重叠，请更新到最新情况）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XXXX（同类奖励请合并填写，如2012、2014年获XXX大学三好学生；只填写学校、所在单位及以上级别的奖励）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（仅应届毕业生填写）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（仅应届毕业生填写，只写标题和核心内容，简明扼要）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工程师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（填写在校期间学生工作经历情况，及其他需说明的问题）</w:t>
            </w:r>
          </w:p>
        </w:tc>
      </w:tr>
    </w:tbl>
    <w:p>
      <w:pPr>
        <w:rPr>
          <w:highlight w:val="none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highlight w:val="none"/>
          <w:lang w:val="en-US" w:eastAsia="zh-CN" w:bidi="ar-SA"/>
        </w:rPr>
        <w:t>考生承诺书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本人XXX，身份证号：XXXXXXXXXXXXXXXXXX，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国家粮食和物资储备局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陕西局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年公务员录用面试的考生。按照要求，我郑重作出以下承诺：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一、面试过程中遵守纪律、服从管理，不携带任何电子和有通讯功能的设备进入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考室和考场，不扰乱面试纪律；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、不以任何方式向他人暗示或泄露试题。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（以下内容请用签字笔抄写）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以上系本人作出的承诺，如有故意隐瞒或违反上述承诺内容，愿意按照法律法规承担相应责任。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姓名（手写签名）：     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8"/>
          <w:sz w:val="84"/>
          <w:szCs w:val="84"/>
          <w:highlight w:val="none"/>
        </w:rPr>
        <w:t>身份证复印件粘贴处</w:t>
      </w:r>
    </w:p>
    <w:sectPr>
      <w:footerReference r:id="rId3" w:type="default"/>
      <w:pgSz w:w="11906" w:h="16838"/>
      <w:pgMar w:top="2041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ZjRiOWU2MjRkOWVlMWM2MTAyMDA3ZWU0ZTJhZDYifQ=="/>
    <w:docVar w:name="KSO_WPS_MARK_KEY" w:val="83eb2d9b-d988-47e5-838a-aa97d4b11f87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244FD8"/>
    <w:rsid w:val="03BF0DB3"/>
    <w:rsid w:val="04730898"/>
    <w:rsid w:val="070F49A2"/>
    <w:rsid w:val="07E43A81"/>
    <w:rsid w:val="08732C15"/>
    <w:rsid w:val="09201445"/>
    <w:rsid w:val="099554C1"/>
    <w:rsid w:val="0B5C2DB3"/>
    <w:rsid w:val="0C0D15D3"/>
    <w:rsid w:val="0F735BF1"/>
    <w:rsid w:val="0F8A26E6"/>
    <w:rsid w:val="0FE4089C"/>
    <w:rsid w:val="1186384C"/>
    <w:rsid w:val="15CE3E9C"/>
    <w:rsid w:val="162163A6"/>
    <w:rsid w:val="16697BD2"/>
    <w:rsid w:val="174560C4"/>
    <w:rsid w:val="18C272A1"/>
    <w:rsid w:val="198432E8"/>
    <w:rsid w:val="19D34702"/>
    <w:rsid w:val="1A7F1696"/>
    <w:rsid w:val="1B4F4EDD"/>
    <w:rsid w:val="1C687BA8"/>
    <w:rsid w:val="1DA2662B"/>
    <w:rsid w:val="1F435D57"/>
    <w:rsid w:val="1F8B2AE2"/>
    <w:rsid w:val="20F85964"/>
    <w:rsid w:val="2270048D"/>
    <w:rsid w:val="22F9220A"/>
    <w:rsid w:val="230C3F3A"/>
    <w:rsid w:val="25783C88"/>
    <w:rsid w:val="25E023B3"/>
    <w:rsid w:val="2665005C"/>
    <w:rsid w:val="26833CFE"/>
    <w:rsid w:val="26B20955"/>
    <w:rsid w:val="27D55CE6"/>
    <w:rsid w:val="282B564A"/>
    <w:rsid w:val="29A30A29"/>
    <w:rsid w:val="2A3235C6"/>
    <w:rsid w:val="2A7740BB"/>
    <w:rsid w:val="2B195E43"/>
    <w:rsid w:val="2B5C4DD2"/>
    <w:rsid w:val="2B6A4948"/>
    <w:rsid w:val="2C5F615A"/>
    <w:rsid w:val="2E5E5C1F"/>
    <w:rsid w:val="2E8C546A"/>
    <w:rsid w:val="303809A8"/>
    <w:rsid w:val="30C70618"/>
    <w:rsid w:val="3389601C"/>
    <w:rsid w:val="3452557D"/>
    <w:rsid w:val="34EB1C02"/>
    <w:rsid w:val="38631313"/>
    <w:rsid w:val="38A72D01"/>
    <w:rsid w:val="3A5369BF"/>
    <w:rsid w:val="3A900623"/>
    <w:rsid w:val="3AA70248"/>
    <w:rsid w:val="3ABD23EC"/>
    <w:rsid w:val="3CD423C1"/>
    <w:rsid w:val="3DA7D2F1"/>
    <w:rsid w:val="3EE21837"/>
    <w:rsid w:val="3F7F1CAC"/>
    <w:rsid w:val="3F7F262E"/>
    <w:rsid w:val="4112486A"/>
    <w:rsid w:val="419A3FAE"/>
    <w:rsid w:val="41DF121F"/>
    <w:rsid w:val="42B9333F"/>
    <w:rsid w:val="45267D82"/>
    <w:rsid w:val="46A55C75"/>
    <w:rsid w:val="47ED3A0E"/>
    <w:rsid w:val="48B91E5D"/>
    <w:rsid w:val="4A7D0844"/>
    <w:rsid w:val="4AFF8095"/>
    <w:rsid w:val="4B162FC1"/>
    <w:rsid w:val="4D9F7FB8"/>
    <w:rsid w:val="4EC933D2"/>
    <w:rsid w:val="4F2B4370"/>
    <w:rsid w:val="4F6F5245"/>
    <w:rsid w:val="51E31065"/>
    <w:rsid w:val="5217023B"/>
    <w:rsid w:val="527E325A"/>
    <w:rsid w:val="559D2106"/>
    <w:rsid w:val="563EDBC9"/>
    <w:rsid w:val="566EAF55"/>
    <w:rsid w:val="57E035B9"/>
    <w:rsid w:val="591C553F"/>
    <w:rsid w:val="59201E40"/>
    <w:rsid w:val="5BE76CD7"/>
    <w:rsid w:val="5C0A0595"/>
    <w:rsid w:val="5D5BD52B"/>
    <w:rsid w:val="5F714286"/>
    <w:rsid w:val="5FC72C86"/>
    <w:rsid w:val="6277079A"/>
    <w:rsid w:val="64AF38BD"/>
    <w:rsid w:val="66A9277E"/>
    <w:rsid w:val="66E71979"/>
    <w:rsid w:val="671536C9"/>
    <w:rsid w:val="67FA0530"/>
    <w:rsid w:val="687142E8"/>
    <w:rsid w:val="68E819D9"/>
    <w:rsid w:val="69F3315F"/>
    <w:rsid w:val="6B3139B7"/>
    <w:rsid w:val="6CB23063"/>
    <w:rsid w:val="6DF53072"/>
    <w:rsid w:val="6E641B01"/>
    <w:rsid w:val="6EBDFB16"/>
    <w:rsid w:val="6F2E2173"/>
    <w:rsid w:val="6F416B95"/>
    <w:rsid w:val="6FFB7C59"/>
    <w:rsid w:val="71DA035E"/>
    <w:rsid w:val="7285109B"/>
    <w:rsid w:val="733416DF"/>
    <w:rsid w:val="73395940"/>
    <w:rsid w:val="73AA26AC"/>
    <w:rsid w:val="73DEA54B"/>
    <w:rsid w:val="73FF0C31"/>
    <w:rsid w:val="744020CC"/>
    <w:rsid w:val="75F7FB8A"/>
    <w:rsid w:val="760E5F3E"/>
    <w:rsid w:val="76BE7041"/>
    <w:rsid w:val="76EFA947"/>
    <w:rsid w:val="76F79ED4"/>
    <w:rsid w:val="77A7CC15"/>
    <w:rsid w:val="77B570D8"/>
    <w:rsid w:val="77BD349F"/>
    <w:rsid w:val="77FC31D6"/>
    <w:rsid w:val="783A38D3"/>
    <w:rsid w:val="784F3AD6"/>
    <w:rsid w:val="78B6041B"/>
    <w:rsid w:val="79793978"/>
    <w:rsid w:val="79D85F74"/>
    <w:rsid w:val="7AB855E2"/>
    <w:rsid w:val="7AC65BFC"/>
    <w:rsid w:val="7BBF1788"/>
    <w:rsid w:val="7BDFB8D6"/>
    <w:rsid w:val="7BEF101B"/>
    <w:rsid w:val="7CB751A4"/>
    <w:rsid w:val="7D761C62"/>
    <w:rsid w:val="7E1E7F1F"/>
    <w:rsid w:val="7EFFED7A"/>
    <w:rsid w:val="7F3FC90D"/>
    <w:rsid w:val="7FDF0633"/>
    <w:rsid w:val="855FA11C"/>
    <w:rsid w:val="97564408"/>
    <w:rsid w:val="9D2C6205"/>
    <w:rsid w:val="9DD31727"/>
    <w:rsid w:val="9EFF55C7"/>
    <w:rsid w:val="9FAFA6B6"/>
    <w:rsid w:val="BA551433"/>
    <w:rsid w:val="BAFF0330"/>
    <w:rsid w:val="BB7F1B3A"/>
    <w:rsid w:val="BBFF119A"/>
    <w:rsid w:val="BFFF98E2"/>
    <w:rsid w:val="CBDF17F6"/>
    <w:rsid w:val="CFFF8747"/>
    <w:rsid w:val="D66F295B"/>
    <w:rsid w:val="DAFCD335"/>
    <w:rsid w:val="DD7EF73C"/>
    <w:rsid w:val="E6B6B843"/>
    <w:rsid w:val="E7FFB633"/>
    <w:rsid w:val="EBFD21CB"/>
    <w:rsid w:val="EC9FECA3"/>
    <w:rsid w:val="EEBF73AA"/>
    <w:rsid w:val="EECFD540"/>
    <w:rsid w:val="F1DB1C6F"/>
    <w:rsid w:val="F1FBD47F"/>
    <w:rsid w:val="F6FBBC7D"/>
    <w:rsid w:val="F7FF3903"/>
    <w:rsid w:val="F7FF4865"/>
    <w:rsid w:val="F99BA180"/>
    <w:rsid w:val="F9FCACBF"/>
    <w:rsid w:val="FBBB1F66"/>
    <w:rsid w:val="FBF770CD"/>
    <w:rsid w:val="FD78DD19"/>
    <w:rsid w:val="FDF19E9C"/>
    <w:rsid w:val="FF8EA3D9"/>
    <w:rsid w:val="FFDFB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11</Pages>
  <Words>3780</Words>
  <Characters>4516</Characters>
  <Lines>25</Lines>
  <Paragraphs>7</Paragraphs>
  <TotalTime>0</TotalTime>
  <ScaleCrop>false</ScaleCrop>
  <LinksUpToDate>false</LinksUpToDate>
  <CharactersWithSpaces>4647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2021-02-08T14:14:00Z</dcterms:created>
  <dc:creator>微软中国</dc:creator>
  <cp:lastModifiedBy>wangqi</cp:lastModifiedBy>
  <cp:lastPrinted>2024-01-28T01:12:00Z</cp:lastPrinted>
  <dcterms:modified xsi:type="dcterms:W3CDTF">2024-02-19T14:30:57Z</dcterms:modified>
  <dc:title>人力资源和社会保障部机关2015年录用公务员面试公告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4C993E320E3649C8AC5E58FAA22AB2C5_13</vt:lpwstr>
  </property>
</Properties>
</file>