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kern w:val="2"/>
          <w:sz w:val="44"/>
          <w:szCs w:val="44"/>
          <w:lang w:val="en-US" w:eastAsia="zh-CN"/>
        </w:rPr>
      </w:pPr>
      <w:bookmarkStart w:id="0" w:name="_GoBack"/>
      <w:bookmarkEnd w:id="0"/>
      <w:r>
        <w:rPr>
          <w:rFonts w:hint="eastAsia" w:ascii="方正小标宋简体" w:hAnsi="Times New Roman" w:eastAsia="方正小标宋简体" w:cs="Times New Roman"/>
          <w:kern w:val="2"/>
          <w:sz w:val="44"/>
          <w:szCs w:val="44"/>
          <w:lang w:val="en-US" w:eastAsia="zh-CN"/>
        </w:rPr>
        <w:t>本溪南芬经济开发区竞聘上岗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44"/>
          <w:szCs w:val="44"/>
          <w:lang w:val="en-US" w:eastAsia="zh-CN"/>
        </w:rPr>
        <w:t>工作实施方案</w:t>
      </w: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Times New Roman" w:hAnsi="Times New Roman" w:eastAsia="仿宋_GB2312" w:cs="Times New Roman"/>
          <w:kern w:val="2"/>
          <w:sz w:val="32"/>
          <w:szCs w:val="32"/>
          <w:lang w:eastAsia="zh-CN"/>
        </w:rPr>
      </w:pPr>
      <w:r>
        <w:rPr>
          <w:rFonts w:hint="eastAsia" w:ascii="仿宋" w:hAnsi="仿宋" w:eastAsia="仿宋" w:cs="仿宋"/>
          <w:sz w:val="32"/>
          <w:szCs w:val="32"/>
          <w:highlight w:val="none"/>
          <w:lang w:val="en-US" w:eastAsia="zh-CN"/>
        </w:rPr>
        <w:t xml:space="preserve">    </w:t>
      </w:r>
      <w:r>
        <w:rPr>
          <w:rFonts w:hint="eastAsia" w:ascii="Times New Roman" w:hAnsi="Times New Roman" w:eastAsia="仿宋_GB2312" w:cs="Times New Roman"/>
          <w:kern w:val="2"/>
          <w:sz w:val="32"/>
          <w:szCs w:val="32"/>
          <w:lang w:eastAsia="zh-CN"/>
        </w:rPr>
        <w:t>为深化本溪</w:t>
      </w:r>
      <w:r>
        <w:rPr>
          <w:rFonts w:hint="eastAsia" w:ascii="Times New Roman" w:hAnsi="Times New Roman" w:eastAsia="仿宋_GB2312" w:cs="Times New Roman"/>
          <w:kern w:val="2"/>
          <w:sz w:val="32"/>
          <w:szCs w:val="32"/>
          <w:lang w:val="en-US" w:eastAsia="zh-CN"/>
        </w:rPr>
        <w:t>南芬经济开发区</w:t>
      </w:r>
      <w:r>
        <w:rPr>
          <w:rFonts w:hint="eastAsia" w:ascii="Times New Roman" w:hAnsi="Times New Roman" w:eastAsia="仿宋_GB2312" w:cs="Times New Roman"/>
          <w:kern w:val="2"/>
          <w:sz w:val="32"/>
          <w:szCs w:val="32"/>
          <w:lang w:eastAsia="zh-CN"/>
        </w:rPr>
        <w:t>（以下简称‘</w:t>
      </w:r>
      <w:r>
        <w:rPr>
          <w:rFonts w:hint="eastAsia" w:ascii="Times New Roman" w:hAnsi="Times New Roman" w:eastAsia="仿宋_GB2312" w:cs="Times New Roman"/>
          <w:kern w:val="2"/>
          <w:sz w:val="32"/>
          <w:szCs w:val="32"/>
          <w:lang w:val="en-US" w:eastAsia="zh-CN"/>
        </w:rPr>
        <w:t>开发</w:t>
      </w:r>
      <w:r>
        <w:rPr>
          <w:rFonts w:hint="eastAsia" w:ascii="Times New Roman" w:hAnsi="Times New Roman" w:eastAsia="仿宋_GB2312" w:cs="Times New Roman"/>
          <w:kern w:val="2"/>
          <w:sz w:val="32"/>
          <w:szCs w:val="32"/>
          <w:lang w:eastAsia="zh-CN"/>
        </w:rPr>
        <w:t>区’）体制机制改革，创优选人用人方式，建设一支富有创新创造精神、敢担当善作为的高素质干部队伍，推动开发区进一步聚焦主责主业，加快转型升级，实现高质量发展，根据国家、省关于</w:t>
      </w:r>
      <w:r>
        <w:rPr>
          <w:rFonts w:hint="eastAsia" w:ascii="Times New Roman" w:hAnsi="Times New Roman" w:eastAsia="仿宋_GB2312" w:cs="Times New Roman"/>
          <w:kern w:val="2"/>
          <w:sz w:val="32"/>
          <w:szCs w:val="32"/>
          <w:lang w:val="en-US" w:eastAsia="zh-CN"/>
        </w:rPr>
        <w:t>推进</w:t>
      </w:r>
      <w:r>
        <w:rPr>
          <w:rFonts w:hint="eastAsia" w:ascii="Times New Roman" w:hAnsi="Times New Roman" w:eastAsia="仿宋_GB2312" w:cs="Times New Roman"/>
          <w:kern w:val="2"/>
          <w:sz w:val="32"/>
          <w:szCs w:val="32"/>
          <w:lang w:eastAsia="zh-CN"/>
        </w:rPr>
        <w:t>开发区高质量发展的有关文件精神，结合《本溪市</w:t>
      </w:r>
      <w:r>
        <w:rPr>
          <w:rFonts w:hint="eastAsia" w:ascii="Times New Roman" w:hAnsi="Times New Roman" w:eastAsia="仿宋_GB2312" w:cs="Times New Roman"/>
          <w:kern w:val="2"/>
          <w:sz w:val="32"/>
          <w:szCs w:val="32"/>
          <w:lang w:val="en-US" w:eastAsia="zh-CN"/>
        </w:rPr>
        <w:t>深化经济开发区体制机制改革方案</w:t>
      </w:r>
      <w:r>
        <w:rPr>
          <w:rFonts w:hint="eastAsia" w:ascii="Times New Roman" w:hAnsi="Times New Roman" w:eastAsia="仿宋_GB2312" w:cs="Times New Roman"/>
          <w:kern w:val="2"/>
          <w:sz w:val="32"/>
          <w:szCs w:val="32"/>
          <w:lang w:eastAsia="zh-CN"/>
        </w:rPr>
        <w:t>》（本</w:t>
      </w:r>
      <w:r>
        <w:rPr>
          <w:rFonts w:hint="eastAsia" w:ascii="Times New Roman" w:hAnsi="Times New Roman" w:eastAsia="仿宋_GB2312" w:cs="Times New Roman"/>
          <w:kern w:val="2"/>
          <w:sz w:val="32"/>
          <w:szCs w:val="32"/>
          <w:lang w:val="en-US" w:eastAsia="zh-CN"/>
        </w:rPr>
        <w:t>改</w:t>
      </w:r>
      <w:r>
        <w:rPr>
          <w:rFonts w:hint="eastAsia" w:ascii="Times New Roman" w:hAnsi="Times New Roman" w:eastAsia="仿宋_GB2312" w:cs="Times New Roman"/>
          <w:kern w:val="2"/>
          <w:sz w:val="32"/>
          <w:szCs w:val="32"/>
          <w:lang w:eastAsia="zh-CN"/>
        </w:rPr>
        <w:t>委发</w:t>
      </w:r>
      <w:r>
        <w:rPr>
          <w:rFonts w:hint="eastAsia" w:ascii="Times New Roman" w:hAnsi="Times New Roman" w:eastAsia="仿宋_GB2312" w:cs="Times New Roman"/>
          <w:kern w:val="2"/>
          <w:sz w:val="32"/>
          <w:szCs w:val="32"/>
          <w:lang w:val="en-US" w:eastAsia="zh-CN"/>
        </w:rPr>
        <w:t>〔2024〕3</w:t>
      </w:r>
      <w:r>
        <w:rPr>
          <w:rFonts w:hint="eastAsia" w:ascii="Times New Roman" w:hAnsi="Times New Roman" w:eastAsia="仿宋_GB2312" w:cs="Times New Roman"/>
          <w:kern w:val="2"/>
          <w:sz w:val="32"/>
          <w:szCs w:val="32"/>
          <w:lang w:eastAsia="zh-CN"/>
        </w:rPr>
        <w:t>号）</w:t>
      </w:r>
      <w:r>
        <w:rPr>
          <w:rFonts w:hint="eastAsia" w:ascii="Times New Roman" w:hAnsi="Times New Roman" w:eastAsia="仿宋_GB2312" w:cs="Times New Roman"/>
          <w:kern w:val="2"/>
          <w:sz w:val="32"/>
          <w:szCs w:val="32"/>
          <w:lang w:val="en-US" w:eastAsia="zh-CN"/>
        </w:rPr>
        <w:t>文件精神</w:t>
      </w:r>
      <w:r>
        <w:rPr>
          <w:rFonts w:hint="eastAsia" w:ascii="Times New Roman" w:hAnsi="Times New Roman" w:eastAsia="仿宋_GB2312" w:cs="Times New Roman"/>
          <w:kern w:val="2"/>
          <w:sz w:val="32"/>
          <w:szCs w:val="32"/>
          <w:lang w:eastAsia="zh-CN"/>
        </w:rPr>
        <w:t>，制定如下实施方案。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 xml:space="preserve"> </w:t>
      </w:r>
      <w:r>
        <w:rPr>
          <w:rFonts w:hint="eastAsia" w:ascii="黑体" w:hAnsi="黑体" w:eastAsia="黑体" w:cs="黑体"/>
          <w:sz w:val="32"/>
          <w:szCs w:val="32"/>
          <w:highlight w:val="none"/>
          <w:lang w:eastAsia="zh-CN"/>
        </w:rPr>
        <w:t>一、基本原则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（一）坚持党的领导，把加强党的领导贯穿于开发区体制机制改革竞聘上岗工作各方面和全过程。坚持稳字当头，确保改革期间思想不乱、队伍不散、工作不断、干劲不减。</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（二）坚持公平公正公开，全程阳光操作。坚持竞争择优，以事择人，人岗相适，确保竞聘上岗工作规范有序进行。</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（三）坚持“档案封</w:t>
      </w:r>
      <w:r>
        <w:rPr>
          <w:rFonts w:hint="eastAsia" w:ascii="Times New Roman" w:hAnsi="Times New Roman" w:eastAsia="仿宋_GB2312" w:cs="Times New Roman"/>
          <w:kern w:val="2"/>
          <w:sz w:val="32"/>
          <w:szCs w:val="32"/>
          <w:lang w:val="en-US" w:eastAsia="zh-CN"/>
        </w:rPr>
        <w:t>存、</w:t>
      </w:r>
      <w:r>
        <w:rPr>
          <w:rFonts w:hint="eastAsia" w:ascii="Times New Roman" w:hAnsi="Times New Roman" w:eastAsia="仿宋_GB2312" w:cs="Times New Roman"/>
          <w:kern w:val="2"/>
          <w:sz w:val="32"/>
          <w:szCs w:val="32"/>
          <w:lang w:eastAsia="zh-CN"/>
        </w:rPr>
        <w:t>员额总控、</w:t>
      </w:r>
      <w:r>
        <w:rPr>
          <w:rFonts w:hint="eastAsia" w:ascii="Times New Roman" w:hAnsi="Times New Roman" w:eastAsia="仿宋_GB2312" w:cs="Times New Roman"/>
          <w:kern w:val="2"/>
          <w:sz w:val="32"/>
          <w:szCs w:val="32"/>
          <w:lang w:val="en-US" w:eastAsia="zh-CN"/>
        </w:rPr>
        <w:t>全员聘任</w:t>
      </w:r>
      <w:r>
        <w:rPr>
          <w:rFonts w:hint="eastAsia" w:ascii="Times New Roman" w:hAnsi="Times New Roman" w:eastAsia="仿宋_GB2312" w:cs="Times New Roman"/>
          <w:kern w:val="2"/>
          <w:sz w:val="32"/>
          <w:szCs w:val="32"/>
          <w:lang w:eastAsia="zh-CN"/>
        </w:rPr>
        <w:t>、以岗定薪、绩效考核”的管理模式。坚持“按需设岗、竞聘上岗、</w:t>
      </w:r>
      <w:r>
        <w:rPr>
          <w:rFonts w:hint="eastAsia" w:ascii="Times New Roman" w:hAnsi="Times New Roman" w:eastAsia="仿宋_GB2312" w:cs="Times New Roman"/>
          <w:kern w:val="2"/>
          <w:sz w:val="32"/>
          <w:szCs w:val="32"/>
          <w:lang w:val="en-US" w:eastAsia="zh-CN"/>
        </w:rPr>
        <w:t>按</w:t>
      </w:r>
      <w:r>
        <w:rPr>
          <w:rFonts w:hint="eastAsia" w:ascii="Times New Roman" w:hAnsi="Times New Roman" w:eastAsia="仿宋_GB2312" w:cs="Times New Roman"/>
          <w:kern w:val="2"/>
          <w:sz w:val="32"/>
          <w:szCs w:val="32"/>
          <w:lang w:eastAsia="zh-CN"/>
        </w:rPr>
        <w:t>岗聘用、合同管理”的岗位管理办法，实现责权利相统一的岗位管理目标。</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（四）坚持依法依规，严格依据法律法规和有关文件要求开展竞聘上岗工作，确保竞聘上岗工作流程合法合规。</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 xml:space="preserve"> </w:t>
      </w:r>
      <w:r>
        <w:rPr>
          <w:rFonts w:hint="eastAsia" w:ascii="黑体" w:hAnsi="黑体" w:eastAsia="黑体" w:cs="黑体"/>
          <w:sz w:val="32"/>
          <w:szCs w:val="32"/>
          <w:highlight w:val="none"/>
          <w:lang w:eastAsia="zh-CN"/>
        </w:rPr>
        <w:t>二、竞聘岗位</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管委会</w:t>
      </w:r>
      <w:r>
        <w:rPr>
          <w:rFonts w:hint="eastAsia" w:ascii="Times New Roman" w:hAnsi="Times New Roman" w:eastAsia="仿宋_GB2312" w:cs="Times New Roman"/>
          <w:kern w:val="2"/>
          <w:sz w:val="32"/>
          <w:szCs w:val="32"/>
          <w:lang w:val="en-US" w:eastAsia="zh-CN"/>
        </w:rPr>
        <w:t>拟聘</w:t>
      </w:r>
      <w:r>
        <w:rPr>
          <w:rFonts w:hint="eastAsia" w:ascii="Times New Roman" w:hAnsi="Times New Roman" w:eastAsia="仿宋_GB2312" w:cs="Times New Roman"/>
          <w:kern w:val="2"/>
          <w:sz w:val="32"/>
          <w:szCs w:val="32"/>
          <w:lang w:eastAsia="zh-CN"/>
        </w:rPr>
        <w:t>岗位</w:t>
      </w:r>
      <w:r>
        <w:rPr>
          <w:rFonts w:hint="eastAsia" w:ascii="Times New Roman" w:hAnsi="Times New Roman" w:eastAsia="仿宋_GB2312" w:cs="Times New Roman"/>
          <w:kern w:val="2"/>
          <w:sz w:val="32"/>
          <w:szCs w:val="32"/>
          <w:lang w:val="en-US" w:eastAsia="zh-CN"/>
        </w:rPr>
        <w:t>14</w:t>
      </w:r>
      <w:r>
        <w:rPr>
          <w:rFonts w:hint="eastAsia" w:ascii="Times New Roman" w:hAnsi="Times New Roman" w:eastAsia="仿宋_GB2312" w:cs="Times New Roman"/>
          <w:kern w:val="2"/>
          <w:sz w:val="32"/>
          <w:szCs w:val="32"/>
          <w:lang w:eastAsia="zh-CN"/>
        </w:rPr>
        <w:t>个。包括</w:t>
      </w:r>
      <w:r>
        <w:rPr>
          <w:rFonts w:hint="eastAsia" w:ascii="Times New Roman" w:hAnsi="Times New Roman" w:eastAsia="仿宋_GB2312" w:cs="Times New Roman"/>
          <w:kern w:val="2"/>
          <w:sz w:val="32"/>
          <w:szCs w:val="32"/>
          <w:lang w:val="en-US" w:eastAsia="zh-CN"/>
        </w:rPr>
        <w:t>党政办公室、投资促进局、经济发展服务局3</w:t>
      </w:r>
      <w:r>
        <w:rPr>
          <w:rFonts w:hint="eastAsia" w:ascii="Times New Roman" w:hAnsi="Times New Roman" w:eastAsia="仿宋_GB2312" w:cs="Times New Roman"/>
          <w:kern w:val="2"/>
          <w:sz w:val="32"/>
          <w:szCs w:val="32"/>
          <w:lang w:eastAsia="zh-CN"/>
        </w:rPr>
        <w:t>个内设机构局长（主任）、副局长（</w:t>
      </w:r>
      <w:r>
        <w:rPr>
          <w:rFonts w:hint="eastAsia" w:ascii="Times New Roman" w:hAnsi="Times New Roman" w:eastAsia="仿宋_GB2312" w:cs="Times New Roman"/>
          <w:kern w:val="2"/>
          <w:sz w:val="32"/>
          <w:szCs w:val="32"/>
          <w:lang w:val="en-US" w:eastAsia="zh-CN"/>
        </w:rPr>
        <w:t>副</w:t>
      </w:r>
      <w:r>
        <w:rPr>
          <w:rFonts w:hint="eastAsia" w:ascii="Times New Roman" w:hAnsi="Times New Roman" w:eastAsia="仿宋_GB2312" w:cs="Times New Roman"/>
          <w:kern w:val="2"/>
          <w:sz w:val="32"/>
          <w:szCs w:val="32"/>
          <w:lang w:eastAsia="zh-CN"/>
        </w:rPr>
        <w:t>主任）、工作人员、</w:t>
      </w:r>
      <w:r>
        <w:rPr>
          <w:rFonts w:hint="eastAsia" w:ascii="Times New Roman" w:hAnsi="Times New Roman" w:eastAsia="仿宋_GB2312" w:cs="Times New Roman"/>
          <w:kern w:val="2"/>
          <w:sz w:val="32"/>
          <w:szCs w:val="32"/>
          <w:lang w:val="en-US" w:eastAsia="zh-CN"/>
        </w:rPr>
        <w:t>专职人员</w:t>
      </w:r>
      <w:r>
        <w:rPr>
          <w:rFonts w:hint="eastAsia" w:ascii="Times New Roman" w:hAnsi="Times New Roman" w:eastAsia="仿宋_GB2312" w:cs="Times New Roman"/>
          <w:kern w:val="2"/>
          <w:sz w:val="32"/>
          <w:szCs w:val="32"/>
          <w:lang w:eastAsia="zh-CN"/>
        </w:rPr>
        <w:t>岗位。</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三、人员范围</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w:t>
      </w:r>
      <w:r>
        <w:rPr>
          <w:rFonts w:hint="eastAsia" w:ascii="Times New Roman" w:hAnsi="Times New Roman" w:eastAsia="仿宋_GB2312" w:cs="Times New Roman"/>
          <w:kern w:val="2"/>
          <w:sz w:val="32"/>
          <w:szCs w:val="32"/>
          <w:lang w:val="en-US" w:eastAsia="zh-CN"/>
        </w:rPr>
        <w:t>第一轮竞聘，</w:t>
      </w:r>
      <w:r>
        <w:rPr>
          <w:rFonts w:hint="eastAsia" w:ascii="Times New Roman" w:hAnsi="Times New Roman" w:eastAsia="仿宋_GB2312" w:cs="Times New Roman"/>
          <w:kern w:val="2"/>
          <w:sz w:val="32"/>
          <w:szCs w:val="32"/>
          <w:lang w:eastAsia="zh-CN"/>
        </w:rPr>
        <w:t>管委会</w:t>
      </w:r>
      <w:r>
        <w:rPr>
          <w:rFonts w:hint="eastAsia" w:ascii="Times New Roman" w:hAnsi="Times New Roman" w:eastAsia="仿宋_GB2312" w:cs="Times New Roman"/>
          <w:kern w:val="2"/>
          <w:sz w:val="32"/>
          <w:szCs w:val="32"/>
          <w:lang w:val="en-US" w:eastAsia="zh-CN"/>
        </w:rPr>
        <w:t>及南芬区</w:t>
      </w:r>
      <w:r>
        <w:rPr>
          <w:rFonts w:hint="eastAsia" w:ascii="Times New Roman" w:hAnsi="Times New Roman" w:eastAsia="仿宋_GB2312" w:cs="Times New Roman"/>
          <w:kern w:val="2"/>
          <w:sz w:val="32"/>
          <w:szCs w:val="32"/>
          <w:lang w:eastAsia="zh-CN"/>
        </w:rPr>
        <w:t>在编在职公务员、参公身份人员、在职</w:t>
      </w:r>
      <w:r>
        <w:rPr>
          <w:rFonts w:hint="eastAsia" w:ascii="Times New Roman" w:hAnsi="Times New Roman" w:eastAsia="仿宋_GB2312" w:cs="Times New Roman"/>
          <w:kern w:val="2"/>
          <w:sz w:val="32"/>
          <w:szCs w:val="32"/>
          <w:lang w:val="en-US" w:eastAsia="zh-CN"/>
        </w:rPr>
        <w:t>事业编制人员、机关工勤人员</w:t>
      </w:r>
      <w:r>
        <w:rPr>
          <w:rFonts w:hint="eastAsia" w:ascii="Times New Roman" w:hAnsi="Times New Roman" w:eastAsia="仿宋_GB2312" w:cs="Times New Roman"/>
          <w:kern w:val="2"/>
          <w:sz w:val="32"/>
          <w:szCs w:val="32"/>
          <w:lang w:eastAsia="zh-CN"/>
        </w:rPr>
        <w:t>可报名参加岗位竞聘（开发区领导班子成员除外）。</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w:t>
      </w:r>
      <w:r>
        <w:rPr>
          <w:rFonts w:hint="eastAsia" w:ascii="Times New Roman" w:hAnsi="Times New Roman" w:eastAsia="仿宋_GB2312" w:cs="Times New Roman"/>
          <w:kern w:val="2"/>
          <w:sz w:val="32"/>
          <w:szCs w:val="32"/>
          <w:lang w:val="en-US" w:eastAsia="zh-CN"/>
        </w:rPr>
        <w:t>第一轮竞聘剩余岗位，根据产业规划和岗位需求，面向社会聘任，可以选择部分岗位面向社会公开招聘、特岗特聘、组织选聘。（竞聘方案另行制定）</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四、资格条件</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一）政治素质和思想道德品行好，自觉用习近平新时代中国特色社会主义思想武装头脑、指导实践、推动工作，深刻领悟“两个确立”的决定性意义，增强“四个意识”，坚定“四个自信”，做到“两个维护”，坚决贯彻执行党的理论和基本路线方针政策，具有履行竞聘岗位职责所需的政策理论水平和组织领导能力。</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（二）事业心责任感强，富有斗争精神，敢于负责，勇于担当，善于作为，工作实绩突出。</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（三）组织纪律性强，服从组织安排，遵纪守法，勤政廉政，履职尽责。</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（四）具有大专及以上学历。</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（五）距离法定退休年龄1个聘期以上。</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（六）具备正常履行竞聘岗位职责的身体条件。</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上一年年度考核结果为“基本称职（基本合格）”及以下等次的，正在接受组织审查调查或在党纪、政务处分期内的人员，不得参加原岗位所对应的上一层级岗位竞聘。对法律法规规定和其他不适宜担任上述竞聘岗位的人员，不得参与竞聘。</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任职资格、退休等计算截止时间为方案公布之日。</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黑体" w:hAnsi="黑体" w:eastAsia="黑体" w:cs="黑体"/>
          <w:sz w:val="32"/>
          <w:szCs w:val="32"/>
          <w:highlight w:val="none"/>
          <w:lang w:eastAsia="zh-CN"/>
        </w:rPr>
        <w:t>五、程序步骤</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竞聘分2个批次逐次展开。第一批次开展对开发区管委会原有人员及全区在编在岗人员全岗位竞聘；第二批次对第一轮竞聘剩余岗位开展面向社会竞聘。前一个批次落聘的，可以参加后一批次岗位的竞聘。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kern w:val="2"/>
          <w:sz w:val="32"/>
          <w:szCs w:val="32"/>
          <w:lang w:val="en-US" w:eastAsia="zh-CN"/>
        </w:rPr>
      </w:pPr>
      <w:r>
        <w:rPr>
          <w:rFonts w:hint="eastAsia" w:ascii="Times New Roman" w:hAnsi="Times New Roman" w:eastAsia="楷体_GB2312" w:cs="Times New Roman"/>
          <w:b w:val="0"/>
          <w:bCs w:val="0"/>
          <w:kern w:val="2"/>
          <w:sz w:val="32"/>
          <w:szCs w:val="32"/>
          <w:lang w:val="en-US" w:eastAsia="zh-CN"/>
        </w:rPr>
        <w:t>（一）报名与资格审查</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1.发布公告。开发区竞聘上岗工作领导小组（以下简称领导小组）办公室通过公告栏等方式发布各批次岗位竞聘公告，确保全员覆盖、不漏一人。</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2.组织报名。竞聘者填写岗位竞聘报名表，报送领导小组办公室。每个批次每名竞聘者可填报1-2个岗位。在报名过程中，领导小组办公室定期公布各岗位报名人数，竞聘者可在规定时间内改报其他岗位。</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3.资格审查。领导小组办公室对竞聘者资格条件进行审查，凡竞聘者提交报名申请材料不及时、不准确、不齐全，或有弄虚作假的，取消竞聘资格，资格审查工作贯穿竞聘全过程。领导小组对通过资格审查的人员名单进行认定后，公布竞聘人员名单。</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Times New Roman" w:hAnsi="Times New Roman" w:eastAsia="楷体_GB2312" w:cs="Times New Roman"/>
          <w:b w:val="0"/>
          <w:bCs w:val="0"/>
          <w:kern w:val="2"/>
          <w:sz w:val="32"/>
          <w:szCs w:val="32"/>
          <w:lang w:val="en-US" w:eastAsia="zh-CN"/>
        </w:rPr>
        <w:t>（二）竞聘</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1.竞聘采取面试的方式进行。每名竞聘者按照所报考岗位分别参加面试。评审组由5—7名评委组成。评委组根据现场面试情况进行百分制打分，去掉最高分和最低分后计算的平均分为面试得分，竞聘者面试结束后，到场外候分，待下一名竞聘者面试结束后，返回考场听分，并签字确认。</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确定考察对象。面试结束后公布竞聘人员成绩，每批次竞聘完成后，领导小组办公室根据总成绩排序，每个岗位按照一定的差额比例提出初步考察对象建议人选名单。领导小组召开会议集体研究确定考察对象名单，若出现总成绩相同的情况，按对应岗位面试成绩由高到低确定排名，竞聘总成绩低于60分者不得入选。</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3.组织考察。由开发区党工委会同区委组织部按照有关规定组建考察组，综合运用民主征求意见、个别谈话、集体面谈等方式进行深入考察，同时开展“四必”审核，提出考察意见。</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4.讨论决定拟聘用人选。领导小组办公室根据总成绩及组织考察结果，提出拟聘用人选建议名单，经领导小组研究后，提交开发区党工委会议讨论决定拟聘用人选。</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5.公示和聘用。对拟聘用人选在一定范围内进行公示，公示期为5个工作日。公示结果无异议的，办理聘用手续，聘期</w:t>
      </w:r>
      <w:r>
        <w:rPr>
          <w:rFonts w:hint="eastAsia" w:ascii="Times New Roman" w:hAnsi="Times New Roman" w:eastAsia="仿宋_GB2312" w:cs="Times New Roman"/>
          <w:kern w:val="2"/>
          <w:sz w:val="32"/>
          <w:szCs w:val="32"/>
          <w:lang w:val="en-US" w:eastAsia="zh-CN"/>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10666730</wp:posOffset>
                </wp:positionV>
                <wp:extent cx="7492365" cy="0"/>
                <wp:effectExtent l="0" t="5080" r="0" b="4445"/>
                <wp:wrapNone/>
                <wp:docPr id="1" name="_x0000_s2078"/>
                <wp:cNvGraphicFramePr/>
                <a:graphic xmlns:a="http://schemas.openxmlformats.org/drawingml/2006/main">
                  <a:graphicData uri="http://schemas.microsoft.com/office/word/2010/wordprocessingShape">
                    <wps:wsp>
                      <wps:cNvSpPr/>
                      <wps:spPr>
                        <a:xfrm>
                          <a:off x="0" y="0"/>
                          <a:ext cx="7492365" cy="0"/>
                        </a:xfrm>
                        <a:prstGeom prst="line">
                          <a:avLst/>
                        </a:prstGeom>
                        <a:ln w="4575" cap="flat" cmpd="sng">
                          <a:solidFill>
                            <a:srgbClr val="000000"/>
                          </a:solidFill>
                          <a:prstDash val="solid"/>
                          <a:headEnd type="none" w="med" len="med"/>
                          <a:tailEnd type="none" w="med" len="med"/>
                        </a:ln>
                      </wps:spPr>
                      <wps:bodyPr upright="1"/>
                    </wps:wsp>
                  </a:graphicData>
                </a:graphic>
              </wp:anchor>
            </w:drawing>
          </mc:Choice>
          <mc:Fallback>
            <w:pict>
              <v:line id="_x0000_s2078" o:spid="_x0000_s1026" o:spt="20" style="position:absolute;left:0pt;margin-left:0pt;margin-top:839.9pt;height:0pt;width:589.95pt;mso-position-horizontal-relative:page;mso-position-vertical-relative:page;z-index:251659264;mso-width-relative:page;mso-height-relative:page;" filled="f" stroked="t" coordsize="21600,21600" o:gfxdata="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rI90NgAAAALAQAA&#10;DwAAAAAAAAABACAAAAAiAAAAZHJzL2Rvd25yZXYueG1sUEsBAhQAFAAAAAgAh07iQA/ZH+ngAQAA&#10;3wMAAA4AAAAAAAAAAQAgAAAAJwEAAGRycy9lMm9Eb2MueG1sUEsFBgAAAAAGAAYAWQEAAHkFAAAA&#10;AA==&#10;">
                <v:fill on="f" focussize="0,0"/>
                <v:stroke weight="0.360236220472441pt" color="#000000" joinstyle="round"/>
                <v:imagedata o:title=""/>
                <o:lock v:ext="edit" aspectratio="f"/>
              </v:line>
            </w:pict>
          </mc:Fallback>
        </mc:AlternateContent>
      </w:r>
      <w:r>
        <w:rPr>
          <w:rFonts w:hint="eastAsia" w:ascii="Times New Roman" w:hAnsi="Times New Roman" w:eastAsia="仿宋_GB2312" w:cs="Times New Roman"/>
          <w:kern w:val="2"/>
          <w:sz w:val="32"/>
          <w:szCs w:val="32"/>
          <w:lang w:val="en-US" w:eastAsia="zh-CN"/>
        </w:rPr>
        <w:t>2年，由开发区管委会与其签订聘用合同，颁发聘书。</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六、工作要求</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（一）加强组织领导。成立开发区竞聘上岗工作领导小组。</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组  长：丛茂昆  区委副书记、区政府区长、开发区党工委          书记</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        陶维广  开发区党工委副书记、管委会主任</w:t>
      </w:r>
    </w:p>
    <w:p>
      <w:pPr>
        <w:keepNext w:val="0"/>
        <w:keepLines w:val="0"/>
        <w:pageBreakBefore w:val="0"/>
        <w:widowControl w:val="0"/>
        <w:kinsoku/>
        <w:wordWrap/>
        <w:overflowPunct/>
        <w:topLinePunct w:val="0"/>
        <w:bidi w:val="0"/>
        <w:adjustRightInd/>
        <w:snapToGrid/>
        <w:spacing w:line="560" w:lineRule="exact"/>
        <w:ind w:left="3198" w:leftChars="290" w:hanging="2560" w:hangingChars="8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副组长：支  华  区委常委、区纪委书记、监委代主任、开发区党工委委员</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        李金钢  开发区党工委委员、管委会副主任</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        穆世家  开发区党工委委员、管委会副主任</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成  员：区委组织部分管领导</w:t>
      </w:r>
    </w:p>
    <w:p>
      <w:pPr>
        <w:keepNext w:val="0"/>
        <w:keepLines w:val="0"/>
        <w:pageBreakBefore w:val="0"/>
        <w:widowControl w:val="0"/>
        <w:kinsoku/>
        <w:wordWrap/>
        <w:overflowPunct/>
        <w:topLinePunct w:val="0"/>
        <w:bidi w:val="0"/>
        <w:adjustRightInd/>
        <w:snapToGrid/>
        <w:spacing w:line="560" w:lineRule="exact"/>
        <w:ind w:firstLine="1920" w:firstLineChars="6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区纪委、监委分管领导</w:t>
      </w:r>
    </w:p>
    <w:p>
      <w:pPr>
        <w:keepNext w:val="0"/>
        <w:keepLines w:val="0"/>
        <w:pageBreakBefore w:val="0"/>
        <w:widowControl w:val="0"/>
        <w:kinsoku/>
        <w:wordWrap/>
        <w:overflowPunct/>
        <w:topLinePunct w:val="0"/>
        <w:bidi w:val="0"/>
        <w:adjustRightInd/>
        <w:snapToGrid/>
        <w:spacing w:line="560" w:lineRule="exact"/>
        <w:ind w:firstLine="1920" w:firstLineChars="6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区委编委办分管领导</w:t>
      </w:r>
    </w:p>
    <w:p>
      <w:pPr>
        <w:keepNext w:val="0"/>
        <w:keepLines w:val="0"/>
        <w:pageBreakBefore w:val="0"/>
        <w:widowControl w:val="0"/>
        <w:kinsoku/>
        <w:wordWrap/>
        <w:overflowPunct/>
        <w:topLinePunct w:val="0"/>
        <w:bidi w:val="0"/>
        <w:adjustRightInd/>
        <w:snapToGrid/>
        <w:spacing w:line="560" w:lineRule="exact"/>
        <w:ind w:firstLine="1920" w:firstLineChars="6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区人社局分管领导</w:t>
      </w:r>
    </w:p>
    <w:p>
      <w:pPr>
        <w:keepNext w:val="0"/>
        <w:keepLines w:val="0"/>
        <w:pageBreakBefore w:val="0"/>
        <w:widowControl w:val="0"/>
        <w:kinsoku/>
        <w:wordWrap/>
        <w:overflowPunct/>
        <w:topLinePunct w:val="0"/>
        <w:bidi w:val="0"/>
        <w:adjustRightInd/>
        <w:snapToGrid/>
        <w:spacing w:line="560" w:lineRule="exact"/>
        <w:ind w:firstLine="1920" w:firstLineChars="6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区商务局分管领导</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设立开发区竞聘上岗工作领导小组办公室，办公室设在党政办公室，办公室主任由李金钢同志兼任，成员由区纪委监委机关、区委组织部、开发区党政办公室等相关人员组成，负责组织实施本次竞聘上岗工作。</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（二）深入宣传发动。开发区和相关部门要广泛宣传发动，深入解读方案及政策，引导符合条件人员积极参与竞聘，为开发区改革和高质量发展发挥作用、贡献力量，努力营造竞争择优、积极向上的良好氛围。</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三）严明工作纪律。参加竞聘上岗人员要严格遵规守纪，严禁弄虚作假、搞拉票等非组织行为。对在竞聘上岗工作过程中发现的违反政治纪律、组织纪律、工作纪律、竞聘纪律和保密纪律，搞不正之风等违规违纪违法行为，严肃查处，严格追责问责。</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本实施方案由开发区竞聘上岗工作领导小组办公室负责解释。</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Calibri" w:hAnsi="Calibri" w:eastAsia="宋体" w:cs="Calibri"/>
                              <w:sz w:val="28"/>
                              <w:szCs w:val="28"/>
                              <w:lang w:eastAsia="zh-CN"/>
                            </w:rPr>
                          </w:pPr>
                          <w:r>
                            <w:rPr>
                              <w:rFonts w:hint="default" w:ascii="Calibri" w:hAnsi="Calibri" w:cs="Calibri"/>
                              <w:sz w:val="28"/>
                              <w:szCs w:val="28"/>
                              <w:lang w:eastAsia="zh-CN"/>
                            </w:rPr>
                            <w:fldChar w:fldCharType="begin"/>
                          </w:r>
                          <w:r>
                            <w:rPr>
                              <w:rFonts w:hint="default" w:ascii="Calibri" w:hAnsi="Calibri" w:cs="Calibri"/>
                              <w:sz w:val="28"/>
                              <w:szCs w:val="28"/>
                              <w:lang w:eastAsia="zh-CN"/>
                            </w:rPr>
                            <w:instrText xml:space="preserve"> PAGE  \* MERGEFORMAT </w:instrText>
                          </w:r>
                          <w:r>
                            <w:rPr>
                              <w:rFonts w:hint="default" w:ascii="Calibri" w:hAnsi="Calibri" w:cs="Calibri"/>
                              <w:sz w:val="28"/>
                              <w:szCs w:val="28"/>
                              <w:lang w:eastAsia="zh-CN"/>
                            </w:rPr>
                            <w:fldChar w:fldCharType="separate"/>
                          </w:r>
                          <w:r>
                            <w:t>- 1 -</w:t>
                          </w:r>
                          <w:r>
                            <w:rPr>
                              <w:rFonts w:hint="default" w:ascii="Calibri" w:hAnsi="Calibri" w:cs="Calibri"/>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GqeXt0BAAC9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x6&#10;ndTpfawo6d5TGg6vYaCdmf2RnIn00Aab/kSHUZy0PV20VQMymS6tlqtVSSFJsflA+MXDdR8ivlFg&#10;WTJqHmh4WVNxfBdxTJ1TUjUHd9qYPEDj/nIQZvIUqfexx2ThsBsmQjtoTsSHXgHV6SB84aynHai5&#10;o5XnzLx1JHFal9kIs7GbDeEkXaw5cjaatziu1cEHve/yoqWmon91QOo0E0htjLWn7miqWYJpA9Pa&#10;/HnOW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hqnl7dAQAAvQMAAA4AAAAAAAAA&#10;AQAgAAAAHgEAAGRycy9lMm9Eb2MueG1sUEsFBgAAAAAGAAYAWQEAAG0FAAAAAA==&#10;">
              <v:fill on="f" focussize="0,0"/>
              <v:stroke on="f"/>
              <v:imagedata o:title=""/>
              <o:lock v:ext="edit" aspectratio="f"/>
              <v:textbox inset="0mm,0mm,0mm,0mm" style="mso-fit-shape-to-text:t;">
                <w:txbxContent>
                  <w:p>
                    <w:pPr>
                      <w:snapToGrid w:val="0"/>
                      <w:rPr>
                        <w:rFonts w:hint="default" w:ascii="Calibri" w:hAnsi="Calibri" w:eastAsia="宋体" w:cs="Calibri"/>
                        <w:sz w:val="28"/>
                        <w:szCs w:val="28"/>
                        <w:lang w:eastAsia="zh-CN"/>
                      </w:rPr>
                    </w:pPr>
                    <w:r>
                      <w:rPr>
                        <w:rFonts w:hint="default" w:ascii="Calibri" w:hAnsi="Calibri" w:cs="Calibri"/>
                        <w:sz w:val="28"/>
                        <w:szCs w:val="28"/>
                        <w:lang w:eastAsia="zh-CN"/>
                      </w:rPr>
                      <w:fldChar w:fldCharType="begin"/>
                    </w:r>
                    <w:r>
                      <w:rPr>
                        <w:rFonts w:hint="default" w:ascii="Calibri" w:hAnsi="Calibri" w:cs="Calibri"/>
                        <w:sz w:val="28"/>
                        <w:szCs w:val="28"/>
                        <w:lang w:eastAsia="zh-CN"/>
                      </w:rPr>
                      <w:instrText xml:space="preserve"> PAGE  \* MERGEFORMAT </w:instrText>
                    </w:r>
                    <w:r>
                      <w:rPr>
                        <w:rFonts w:hint="default" w:ascii="Calibri" w:hAnsi="Calibri" w:cs="Calibri"/>
                        <w:sz w:val="28"/>
                        <w:szCs w:val="28"/>
                        <w:lang w:eastAsia="zh-CN"/>
                      </w:rPr>
                      <w:fldChar w:fldCharType="separate"/>
                    </w:r>
                    <w:r>
                      <w:t>- 1 -</w:t>
                    </w:r>
                    <w:r>
                      <w:rPr>
                        <w:rFonts w:hint="default" w:ascii="Calibri" w:hAnsi="Calibri" w:cs="Calibri"/>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jVmM2IxNWZiZjFhOWE4OWY4MzFiNDVmMGY2OWYifQ=="/>
  </w:docVars>
  <w:rsids>
    <w:rsidRoot w:val="00172A27"/>
    <w:rsid w:val="314C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ind w:left="820" w:right="646"/>
      <w:jc w:val="center"/>
      <w:outlineLvl w:val="0"/>
    </w:pPr>
    <w:rPr>
      <w:sz w:val="42"/>
      <w:szCs w:val="42"/>
    </w:rPr>
  </w:style>
  <w:style w:type="paragraph" w:styleId="3">
    <w:name w:val="heading 2"/>
    <w:basedOn w:val="1"/>
    <w:next w:val="1"/>
    <w:unhideWhenUsed/>
    <w:qFormat/>
    <w:uiPriority w:val="9"/>
    <w:pPr>
      <w:ind w:left="1161"/>
      <w:outlineLvl w:val="1"/>
    </w:pPr>
    <w:rPr>
      <w:sz w:val="34"/>
      <w:szCs w:val="34"/>
    </w:rPr>
  </w:style>
  <w:style w:type="character" w:default="1" w:styleId="8">
    <w:name w:val="Default Paragraph Font"/>
    <w:unhideWhenUsed/>
    <w:uiPriority w:val="0"/>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unhideWhenUsed/>
    <w:uiPriority w:val="99"/>
    <w:rPr>
      <w:sz w:val="32"/>
      <w:szCs w:val="32"/>
    </w:rPr>
  </w:style>
  <w:style w:type="paragraph" w:styleId="5">
    <w:name w:val="footer"/>
    <w:basedOn w:val="1"/>
    <w:unhideWhenUsed/>
    <w:uiPriority w:val="0"/>
    <w:pPr>
      <w:tabs>
        <w:tab w:val="center" w:pos="4153"/>
        <w:tab w:val="right" w:pos="8306"/>
      </w:tabs>
      <w:snapToGrid w:val="0"/>
      <w:jc w:val="left"/>
    </w:pPr>
    <w:rPr>
      <w:sz w:val="18"/>
    </w:rPr>
  </w:style>
  <w:style w:type="paragraph" w:styleId="6">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Table Paragraph"/>
    <w:basedOn w:val="1"/>
    <w:qFormat/>
    <w:uiPriority w:val="1"/>
  </w:style>
  <w:style w:type="paragraph" w:customStyle="1" w:styleId="10">
    <w:name w:val="List Paragraph"/>
    <w:basedOn w:val="1"/>
    <w:qFormat/>
    <w:uiPriority w:val="1"/>
    <w:pPr>
      <w:spacing w:before="6" w:beforeLines="0"/>
      <w:ind w:left="519" w:firstLine="636"/>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6</Pages>
  <Words>0</Words>
  <Characters>0</Characters>
  <Lines>1</Lines>
  <Paragraphs>1</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Administrator</cp:lastModifiedBy>
  <cp:lastPrinted>2024-04-29T01:27:09Z</cp:lastPrinted>
  <dcterms:modified xsi:type="dcterms:W3CDTF">2024-05-08T06:20:44Z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15132B11B2264A3FBC370F6C6A9D3626_13</vt:lpwstr>
  </property>
</Properties>
</file>