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en-U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en-US"/>
        </w:rPr>
      </w:pPr>
      <w:r>
        <w:rPr>
          <w:rFonts w:hint="eastAsia" w:ascii="方正小标宋简体" w:hAnsi="Times New Roman" w:eastAsia="方正小标宋简体" w:cs="Times New Roman"/>
          <w:sz w:val="44"/>
          <w:szCs w:val="44"/>
          <w:lang w:val="en-US" w:eastAsia="en-US"/>
        </w:rPr>
        <w:t>本溪南芬经济开发区薪酬制度改革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en-US"/>
        </w:rPr>
      </w:pPr>
      <w:r>
        <w:rPr>
          <w:rFonts w:hint="eastAsia" w:ascii="方正小标宋简体" w:hAnsi="Times New Roman" w:eastAsia="方正小标宋简体" w:cs="Times New Roman"/>
          <w:sz w:val="44"/>
          <w:szCs w:val="44"/>
          <w:lang w:val="en-US" w:eastAsia="en-US"/>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为深化</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经济开发区(以下简称“</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”)体制机制改革，建立与开发区总体目标相适应的薪酬分配制度，根据辽宁省对外开放工作领导小组办公室《关于深化全省开发区管理制度改革推动开发区高质量发展的实施意见》(辽开放办发</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en-US"/>
        </w:rPr>
        <w:t>2号)和《</w:t>
      </w:r>
      <w:r>
        <w:rPr>
          <w:rFonts w:hint="eastAsia" w:ascii="Times New Roman" w:hAnsi="Times New Roman" w:eastAsia="仿宋_GB2312" w:cs="Times New Roman"/>
          <w:sz w:val="32"/>
          <w:szCs w:val="32"/>
          <w:lang w:val="en-US" w:eastAsia="zh-CN"/>
        </w:rPr>
        <w:t>中共本溪市委全面深化改革委员会关于印发〈本溪市深化经济开发区体制机制改革方案〉的通知</w:t>
      </w:r>
      <w:r>
        <w:rPr>
          <w:rFonts w:hint="eastAsia" w:ascii="Times New Roman" w:hAnsi="Times New Roman" w:eastAsia="仿宋_GB2312" w:cs="Times New Roman"/>
          <w:sz w:val="32"/>
          <w:szCs w:val="32"/>
          <w:lang w:val="en-US" w:eastAsia="en-US"/>
        </w:rPr>
        <w:t>》(本</w:t>
      </w:r>
      <w:r>
        <w:rPr>
          <w:rFonts w:hint="eastAsia" w:ascii="Times New Roman" w:hAnsi="Times New Roman" w:eastAsia="仿宋_GB2312" w:cs="Times New Roman"/>
          <w:sz w:val="32"/>
          <w:szCs w:val="32"/>
          <w:lang w:val="en-US" w:eastAsia="zh-CN"/>
        </w:rPr>
        <w:t>改</w:t>
      </w:r>
      <w:r>
        <w:rPr>
          <w:rFonts w:hint="eastAsia" w:ascii="Times New Roman" w:hAnsi="Times New Roman" w:eastAsia="仿宋_GB2312" w:cs="Times New Roman"/>
          <w:sz w:val="32"/>
          <w:szCs w:val="32"/>
          <w:lang w:val="en-US" w:eastAsia="en-US"/>
        </w:rPr>
        <w:t>委发</w:t>
      </w:r>
      <w:r>
        <w:rPr>
          <w:rFonts w:hint="eastAsia" w:ascii="Times New Roman" w:hAnsi="Times New Roman" w:eastAsia="仿宋_GB2312" w:cs="Times New Roman"/>
          <w:sz w:val="32"/>
          <w:szCs w:val="32"/>
          <w:lang w:val="en-US" w:eastAsia="zh-CN"/>
        </w:rPr>
        <w:t>〔2024〕3</w:t>
      </w:r>
      <w:r>
        <w:rPr>
          <w:rFonts w:hint="eastAsia" w:ascii="Times New Roman" w:hAnsi="Times New Roman" w:eastAsia="仿宋_GB2312" w:cs="Times New Roman"/>
          <w:sz w:val="32"/>
          <w:szCs w:val="32"/>
          <w:lang w:val="en-US" w:eastAsia="en-US"/>
        </w:rPr>
        <w:t>号)等文件精神，结合</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实际，</w:t>
      </w:r>
      <w:r>
        <w:rPr>
          <w:rFonts w:hint="eastAsia"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lang w:val="en-US" w:eastAsia="en-US"/>
        </w:rPr>
        <w:t>薪酬制度改革实施方案。</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一、分配原则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薪酬分配坚持与岗位重要性、个人业绩贡献、</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整体业绩</w:t>
      </w:r>
      <w:r>
        <w:rPr>
          <w:rFonts w:hint="eastAsia" w:ascii="Times New Roman" w:hAnsi="Times New Roman" w:eastAsia="仿宋_GB2312" w:cs="Times New Roman"/>
          <w:sz w:val="32"/>
          <w:szCs w:val="32"/>
          <w:lang w:val="en-US" w:eastAsia="zh-CN"/>
        </w:rPr>
        <w:t>“三挂钩”，</w:t>
      </w:r>
      <w:r>
        <w:rPr>
          <w:rFonts w:hint="eastAsia" w:ascii="Times New Roman" w:hAnsi="Times New Roman" w:eastAsia="仿宋_GB2312" w:cs="Times New Roman"/>
          <w:sz w:val="32"/>
          <w:szCs w:val="32"/>
          <w:lang w:val="en-US" w:eastAsia="en-US"/>
        </w:rPr>
        <w:t>实行薪酬总量控制，以岗定薪，按绩取酬，奖优罚劣的原则。</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本办法适用于</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lang w:val="en-US" w:eastAsia="en-US"/>
        </w:rPr>
        <w:t>区改革后进入</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lang w:val="en-US" w:eastAsia="en-US"/>
        </w:rPr>
        <w:t>区管委会人员编制管理的工作人员。</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三、薪酬总额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薪酬总额以</w:t>
      </w:r>
      <w:r>
        <w:rPr>
          <w:rFonts w:hint="eastAsia" w:ascii="Times New Roman" w:hAnsi="Times New Roman" w:eastAsia="仿宋_GB2312" w:cs="Times New Roman"/>
          <w:sz w:val="32"/>
          <w:szCs w:val="32"/>
          <w:lang w:val="en-US" w:eastAsia="zh-CN"/>
        </w:rPr>
        <w:t>本溪市</w:t>
      </w:r>
      <w:r>
        <w:rPr>
          <w:rFonts w:hint="eastAsia" w:ascii="Times New Roman" w:hAnsi="Times New Roman" w:eastAsia="仿宋_GB2312" w:cs="Times New Roman"/>
          <w:sz w:val="32"/>
          <w:szCs w:val="32"/>
          <w:lang w:val="en-US" w:eastAsia="en-US"/>
        </w:rPr>
        <w:t>上一年度</w:t>
      </w:r>
      <w:r>
        <w:rPr>
          <w:rFonts w:hint="eastAsia" w:ascii="Times New Roman" w:hAnsi="Times New Roman" w:eastAsia="仿宋_GB2312" w:cs="Times New Roman"/>
          <w:sz w:val="32"/>
          <w:szCs w:val="32"/>
          <w:lang w:val="en-US" w:eastAsia="zh-CN"/>
        </w:rPr>
        <w:t>事业人员</w:t>
      </w:r>
      <w:r>
        <w:rPr>
          <w:rFonts w:hint="eastAsia" w:ascii="Times New Roman" w:hAnsi="Times New Roman" w:eastAsia="仿宋_GB2312" w:cs="Times New Roman"/>
          <w:sz w:val="32"/>
          <w:szCs w:val="32"/>
          <w:lang w:val="en-US" w:eastAsia="en-US"/>
        </w:rPr>
        <w:t>平均工资水平为基础确定年度薪酬总额数量。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按</w:t>
      </w: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en-US"/>
        </w:rPr>
        <w:t>员额数确定薪酬总量(不进行档案封存的员额不计算在内)。其中绩效薪酬根据商务部门的考核结果确定，考核评定为一等的，绩效薪酬总量控制在所在地同级别全额拨款事业单位绩效的5倍以内;考核评定为二等的，控制在3倍以内;考核评定为三等的，按所在地同级别全额拨款事业单位绩效标准核定;对考核不合格的开发区予以通报批评，不核定绩效薪酬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每年年底，开发区编制下一年度《南芬开发区薪酬总额核定表》，按照编制计算基础薪酬和5倍绩效薪酬计算工资总额，并报财政预算。</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四、薪酬结构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薪酬包括</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和绩效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两部分，总额不超过核定的年度薪酬总额。对急需紧缺的高层次人才，可采用年薪制、协议工资、项目工资等多种分配形式。</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en-US"/>
        </w:rPr>
      </w:pPr>
      <w:r>
        <w:rPr>
          <w:rFonts w:hint="eastAsia" w:ascii="Times New Roman" w:hAnsi="Times New Roman" w:eastAsia="楷体_GB2312" w:cs="Times New Roman"/>
          <w:b w:val="0"/>
          <w:bCs w:val="0"/>
          <w:sz w:val="32"/>
          <w:szCs w:val="32"/>
          <w:lang w:val="en-US" w:eastAsia="en-US"/>
        </w:rPr>
        <w:t>（一）</w:t>
      </w:r>
      <w:r>
        <w:rPr>
          <w:rFonts w:hint="eastAsia" w:ascii="Times New Roman" w:hAnsi="Times New Roman" w:eastAsia="楷体_GB2312" w:cs="Times New Roman"/>
          <w:b w:val="0"/>
          <w:bCs w:val="0"/>
          <w:sz w:val="32"/>
          <w:szCs w:val="32"/>
          <w:lang w:val="en-US" w:eastAsia="zh-CN"/>
        </w:rPr>
        <w:t>基础薪酬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是指为了保障</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工作人员基本生活而设立的固定薪酬。</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标准与个人所在的岗位类别、层级相对应。</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基数按照</w:t>
      </w:r>
      <w:r>
        <w:rPr>
          <w:rFonts w:hint="eastAsia" w:ascii="Times New Roman" w:hAnsi="Times New Roman" w:eastAsia="仿宋_GB2312" w:cs="Times New Roman"/>
          <w:sz w:val="32"/>
          <w:szCs w:val="32"/>
          <w:lang w:val="en-US" w:eastAsia="zh-CN"/>
        </w:rPr>
        <w:t>本溪市县（区）公示的</w:t>
      </w:r>
      <w:r>
        <w:rPr>
          <w:rFonts w:hint="eastAsia" w:ascii="Times New Roman" w:hAnsi="Times New Roman" w:eastAsia="仿宋_GB2312" w:cs="Times New Roman"/>
          <w:sz w:val="32"/>
          <w:szCs w:val="32"/>
          <w:lang w:val="en-US" w:eastAsia="en-US"/>
        </w:rPr>
        <w:t>全额拨款事业单位上年度平均工资水平Z（绩效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除外）确定。岗位层级划分为中层岗位、一般岗位</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类，不同的岗位类别对应相应的系数。每个类别的岗位工资标准M,以</w:t>
      </w:r>
      <w:r>
        <w:rPr>
          <w:rFonts w:hint="eastAsia" w:ascii="Times New Roman" w:hAnsi="Times New Roman" w:eastAsia="仿宋_GB2312" w:cs="Times New Roman"/>
          <w:sz w:val="32"/>
          <w:szCs w:val="32"/>
          <w:lang w:val="en-US" w:eastAsia="zh-CN"/>
        </w:rPr>
        <w:t>本溪市县区公示</w:t>
      </w:r>
      <w:r>
        <w:rPr>
          <w:rFonts w:hint="eastAsia" w:ascii="Times New Roman" w:hAnsi="Times New Roman" w:eastAsia="仿宋_GB2312" w:cs="Times New Roman"/>
          <w:sz w:val="32"/>
          <w:szCs w:val="32"/>
          <w:lang w:val="en-US" w:eastAsia="en-US"/>
        </w:rPr>
        <w:t>的全额拨款事业单位上年度平均工资水平为基数Z，按相应系数 Y设定， M=Z</w:t>
      </w:r>
      <w:r>
        <w:rPr>
          <w:rFonts w:hint="eastAsia" w:ascii="Times New Roman" w:hAnsi="Times New Roman" w:eastAsia="仿宋_GB2312" w:cs="Times New Roman"/>
          <w:sz w:val="32"/>
          <w:szCs w:val="32"/>
          <w:lang w:val="en-US" w:eastAsia="zh-CN"/>
        </w:rPr>
        <w:t>×Y</w:t>
      </w:r>
      <w:r>
        <w:rPr>
          <w:rFonts w:hint="eastAsia" w:ascii="Times New Roman" w:hAnsi="Times New Roman" w:eastAsia="仿宋_GB2312" w:cs="Times New Roman"/>
          <w:sz w:val="32"/>
          <w:szCs w:val="32"/>
          <w:lang w:val="en-US" w:eastAsia="en-US"/>
        </w:rPr>
        <w:t>，具体标准如下</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tbl>
      <w:tblPr>
        <w:tblStyle w:val="3"/>
        <w:tblpPr w:leftFromText="180" w:rightFromText="180" w:vertAnchor="text" w:horzAnchor="page" w:tblpX="2072" w:tblpY="54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1"/>
        <w:gridCol w:w="3490"/>
        <w:gridCol w:w="2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69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岗位层级</w:t>
            </w: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岗位类别</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69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中层岗位</w:t>
            </w: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局长</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1691"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副局长</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69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一般岗位</w:t>
            </w: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科员</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w:t>
            </w:r>
            <w:r>
              <w:rPr>
                <w:rFonts w:hint="eastAsia" w:ascii="Times New Roman" w:hAnsi="Times New Roman" w:eastAsia="仿宋_GB2312"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691" w:type="dxa"/>
            <w:vMerge w:val="continue"/>
            <w:tcBorders>
              <w:top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专职人员</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0.8</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 w:hAnsi="仿宋" w:eastAsia="仿宋" w:cs="仿宋"/>
          <w:sz w:val="32"/>
          <w:szCs w:val="32"/>
          <w:highlight w:val="none"/>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（二）绩效薪酬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开发区工作人员绩效薪酬发放与考核结果挂钩，实行季度、半年和年度考核。绩效薪酬中包括特殊贡献薪酬。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en-US"/>
        </w:rPr>
        <w:t>绩效薪酬总额＝薪酬总额－</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总额。绩效考核结果分</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en-US"/>
        </w:rPr>
        <w:t>优秀、称职、基本称职和不称职四个等次，各等次比例按绩效考核办法规定执行。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个人绩效</w:t>
      </w:r>
      <w:r>
        <w:rPr>
          <w:rFonts w:hint="eastAsia" w:ascii="Times New Roman" w:hAnsi="Times New Roman" w:eastAsia="仿宋_GB2312" w:cs="Times New Roman"/>
          <w:sz w:val="32"/>
          <w:szCs w:val="32"/>
          <w:lang w:val="en-US" w:eastAsia="en-US"/>
        </w:rPr>
        <w:t>薪酬</w:t>
      </w:r>
      <w:r>
        <w:rPr>
          <w:rFonts w:hint="eastAsia" w:ascii="Times New Roman" w:hAnsi="Times New Roman" w:eastAsia="仿宋_GB2312" w:cs="Times New Roman"/>
          <w:sz w:val="32"/>
          <w:szCs w:val="32"/>
          <w:lang w:val="en-US" w:eastAsia="zh-CN"/>
        </w:rPr>
        <w:t>＝（绩效薪酬总额－特殊贡献薪酬总额）÷聘任人员岗位数之和×个人岗位等次系数＋个人特殊贡献奖具体标准如下：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mc:AlternateContent>
          <mc:Choice Requires="wps">
            <w:drawing>
              <wp:anchor distT="0" distB="0" distL="114300" distR="114300" simplePos="0" relativeHeight="251659264" behindDoc="0" locked="0" layoutInCell="1" allowOverlap="1">
                <wp:simplePos x="0" y="0"/>
                <wp:positionH relativeFrom="page">
                  <wp:posOffset>1202690</wp:posOffset>
                </wp:positionH>
                <wp:positionV relativeFrom="paragraph">
                  <wp:posOffset>7437755</wp:posOffset>
                </wp:positionV>
                <wp:extent cx="5448935" cy="5083175"/>
                <wp:effectExtent l="0" t="0" r="0" b="0"/>
                <wp:wrapNone/>
                <wp:docPr id="1" name="文本框 8"/>
                <wp:cNvGraphicFramePr/>
                <a:graphic xmlns:a="http://schemas.openxmlformats.org/drawingml/2006/main">
                  <a:graphicData uri="http://schemas.microsoft.com/office/word/2010/wordprocessingShape">
                    <wps:wsp>
                      <wps:cNvSpPr txBox="1"/>
                      <wps:spPr>
                        <a:xfrm>
                          <a:off x="0" y="0"/>
                          <a:ext cx="5448935" cy="5083175"/>
                        </a:xfrm>
                        <a:prstGeom prst="rect">
                          <a:avLst/>
                        </a:prstGeom>
                        <a:noFill/>
                        <a:ln>
                          <a:noFill/>
                        </a:ln>
                      </wps:spPr>
                      <wps:txbx>
                        <w:txbxContent>
                          <w:p>
                            <w:pPr>
                              <w:pStyle w:val="2"/>
                            </w:pPr>
                          </w:p>
                        </w:txbxContent>
                      </wps:txbx>
                      <wps:bodyPr wrap="square" lIns="0" tIns="0" rIns="0" bIns="0" upright="1"/>
                    </wps:wsp>
                  </a:graphicData>
                </a:graphic>
              </wp:anchor>
            </w:drawing>
          </mc:Choice>
          <mc:Fallback>
            <w:pict>
              <v:shape id="文本框 8" o:spid="_x0000_s1026" o:spt="202" type="#_x0000_t202" style="position:absolute;left:0pt;margin-left:94.7pt;margin-top:585.65pt;height:400.25pt;width:429.05pt;mso-position-horizontal-relative:page;z-index:251659264;mso-width-relative:page;mso-height-relative:page;" filled="f" stroked="f" coordsize="21600,21600" o:gfxdata="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Vjh72wAAAA4BAAAPAAAAAAAAAAEAIAAAACIAAABkcnMv&#10;ZG93bnJldi54bWxQSwECFAAUAAAACACHTuJAdICyxccBAACBAwAADgAAAAAAAAABACAAAAAqAQAA&#10;ZHJzL2Uyb0RvYy54bWxQSwUGAAAAAAYABgBZAQAAYwUAAAAA&#10;">
                <v:fill on="f" focussize="0,0"/>
                <v:stroke on="f"/>
                <v:imagedata o:title=""/>
                <o:lock v:ext="edit" aspectratio="f"/>
                <v:textbox inset="0mm,0mm,0mm,0mm">
                  <w:txbxContent>
                    <w:p>
                      <w:pPr>
                        <w:pStyle w:val="2"/>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tbl>
      <w:tblPr>
        <w:tblStyle w:val="3"/>
        <w:tblpPr w:leftFromText="180" w:rightFromText="180" w:vertAnchor="text" w:horzAnchor="page" w:tblpX="2042" w:tblpY="48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1842"/>
        <w:gridCol w:w="1145"/>
        <w:gridCol w:w="1166"/>
        <w:gridCol w:w="1620"/>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6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岗位层级</w:t>
            </w: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岗位类别</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优秀</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称职</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基本称职</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不称职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6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中层岗位</w:t>
            </w: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局长</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1.25</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0.95</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46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val="en-US" w:eastAsia="zh-CN"/>
              </w:rPr>
            </w:pP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副局长</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0.95</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0.8</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6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一般岗位</w:t>
            </w: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科员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（专职人员）</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0.95</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0.8</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0.65</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设特殊贡献奖，坚持倾斜一线，奖优罚劣。对重点和创新工作完成较好的部门，对在重大项目引进、重大风险化解、重大工作担当、重点人才引进及服务企业、应急处置等工作中做出突出贡献的个人进行综合评定，设定三个等次，根据考核评定结果发放特殊贡献薪酬。每年年初按绩效薪酬总额15％预留，发放后剩余部分纳入年末绩效考核薪酬分配。</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五、薪酬发放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工作人员按月发放</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实行预发制度，每年年初先按考核评定三等标准核定绩效薪酬总量</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en-US"/>
        </w:rPr>
        <w:t>年末根据绩效考核结果核批全年</w:t>
      </w:r>
      <w:r>
        <w:rPr>
          <w:rFonts w:hint="eastAsia" w:ascii="Times New Roman" w:hAnsi="Times New Roman" w:eastAsia="仿宋_GB2312" w:cs="Times New Roman"/>
          <w:sz w:val="32"/>
          <w:szCs w:val="32"/>
          <w:lang w:val="en-US" w:eastAsia="zh-CN"/>
        </w:rPr>
        <w:t>绩效</w:t>
      </w:r>
      <w:r>
        <w:rPr>
          <w:rFonts w:hint="eastAsia" w:ascii="Times New Roman" w:hAnsi="Times New Roman" w:eastAsia="仿宋_GB2312" w:cs="Times New Roman"/>
          <w:sz w:val="32"/>
          <w:szCs w:val="32"/>
          <w:lang w:val="en-US" w:eastAsia="en-US"/>
        </w:rPr>
        <w:t>薪酬，多退少补。</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、分类薪酬政策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考虑开发区目前的体制情况，从有利于稳定职工队伍，激发干事创业的积极性出发，开发区实行按人员分类的薪酬政策。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1.开发区领导班子成员(不含兼职)。不封存档案，继续按原工资渠道执行公务员工资政策，执行市直机关公务员绩效奖政策，绩效奖所需资金由财政</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en-US"/>
        </w:rPr>
        <w:t>负责</w:t>
      </w:r>
      <w:r>
        <w:rPr>
          <w:rFonts w:hint="eastAsia" w:ascii="Times New Roman" w:hAnsi="Times New Roman" w:eastAsia="仿宋_GB2312" w:cs="Times New Roman"/>
          <w:sz w:val="32"/>
          <w:szCs w:val="32"/>
          <w:lang w:val="en-US" w:eastAsia="zh-CN"/>
        </w:rPr>
        <w:t>，发放方式，按照市直机关绩效薪酬发放方式发放。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2.开发区副处级以上非领导职务人员。不封存档案，继续执行原工资渠道、标准和政策不变。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3.其他人员。实行档案封存管理，执行以绩效为核心的薪酬政策。所需资金由</w:t>
      </w:r>
      <w:r>
        <w:rPr>
          <w:rFonts w:hint="eastAsia" w:ascii="Times New Roman" w:hAnsi="Times New Roman" w:eastAsia="仿宋_GB2312" w:cs="Times New Roman"/>
          <w:sz w:val="32"/>
          <w:szCs w:val="32"/>
          <w:lang w:val="en-US" w:eastAsia="zh-CN"/>
        </w:rPr>
        <w:t>财政部门</w:t>
      </w:r>
      <w:r>
        <w:rPr>
          <w:rFonts w:hint="eastAsia" w:ascii="Times New Roman" w:hAnsi="Times New Roman" w:eastAsia="仿宋_GB2312" w:cs="Times New Roman"/>
          <w:sz w:val="32"/>
          <w:szCs w:val="32"/>
          <w:lang w:val="en-US" w:eastAsia="en-US"/>
        </w:rPr>
        <w:t>负责。</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、薪酬管理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（一）为科学设置</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lang w:val="en-US" w:eastAsia="en-US"/>
        </w:rPr>
        <w:t>区薪酬分配管理办法，推动薪酬制度科学化、规范化，成立</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经济开发区薪酬分配管理领导小组。组长由</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经济开发区党工委书记担任；副组长由</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经济开发区党工委</w:t>
      </w:r>
      <w:r>
        <w:rPr>
          <w:rFonts w:hint="eastAsia" w:ascii="Times New Roman" w:hAnsi="Times New Roman" w:eastAsia="仿宋_GB2312" w:cs="Times New Roman"/>
          <w:sz w:val="32"/>
          <w:szCs w:val="32"/>
          <w:lang w:val="en-US" w:eastAsia="zh-CN"/>
        </w:rPr>
        <w:t>副书记、</w:t>
      </w:r>
      <w:r>
        <w:rPr>
          <w:rFonts w:hint="eastAsia" w:ascii="Times New Roman" w:hAnsi="Times New Roman" w:eastAsia="仿宋_GB2312" w:cs="Times New Roman"/>
          <w:sz w:val="32"/>
          <w:szCs w:val="32"/>
          <w:lang w:val="en-US" w:eastAsia="en-US"/>
        </w:rPr>
        <w:t>管委会主任担任；成员由</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经济开发区党工委</w:t>
      </w:r>
      <w:r>
        <w:rPr>
          <w:rFonts w:hint="eastAsia" w:ascii="Times New Roman" w:hAnsi="Times New Roman" w:eastAsia="仿宋_GB2312" w:cs="Times New Roman"/>
          <w:sz w:val="32"/>
          <w:szCs w:val="32"/>
          <w:lang w:val="en-US" w:eastAsia="zh-CN"/>
        </w:rPr>
        <w:t>委员、管委会副主任</w:t>
      </w:r>
      <w:r>
        <w:rPr>
          <w:rFonts w:hint="eastAsia" w:ascii="Times New Roman" w:hAnsi="Times New Roman" w:eastAsia="仿宋_GB2312" w:cs="Times New Roman"/>
          <w:sz w:val="32"/>
          <w:szCs w:val="32"/>
          <w:lang w:val="en-US" w:eastAsia="en-US"/>
        </w:rPr>
        <w:t>担任。领导小组下设办公室，负责</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薪酬管理工作，办公室设在</w:t>
      </w:r>
      <w:r>
        <w:rPr>
          <w:rFonts w:hint="eastAsia" w:ascii="Times New Roman" w:hAnsi="Times New Roman" w:eastAsia="仿宋_GB2312" w:cs="Times New Roman"/>
          <w:sz w:val="32"/>
          <w:szCs w:val="32"/>
          <w:lang w:val="en-US" w:eastAsia="zh-CN"/>
        </w:rPr>
        <w:t>开发区党政</w:t>
      </w:r>
      <w:r>
        <w:rPr>
          <w:rFonts w:hint="eastAsia" w:ascii="Times New Roman" w:hAnsi="Times New Roman" w:eastAsia="仿宋_GB2312" w:cs="Times New Roman"/>
          <w:sz w:val="32"/>
          <w:szCs w:val="32"/>
          <w:lang w:val="en-US" w:eastAsia="en-US"/>
        </w:rPr>
        <w:t>办公室，主任由</w:t>
      </w:r>
      <w:r>
        <w:rPr>
          <w:rFonts w:hint="eastAsia" w:ascii="Times New Roman" w:hAnsi="Times New Roman" w:eastAsia="仿宋_GB2312" w:cs="Times New Roman"/>
          <w:sz w:val="32"/>
          <w:szCs w:val="32"/>
          <w:lang w:val="en-US" w:eastAsia="zh-CN"/>
        </w:rPr>
        <w:t>开发区党政</w:t>
      </w:r>
      <w:r>
        <w:rPr>
          <w:rFonts w:hint="eastAsia" w:ascii="Times New Roman" w:hAnsi="Times New Roman" w:eastAsia="仿宋_GB2312" w:cs="Times New Roman"/>
          <w:sz w:val="32"/>
          <w:szCs w:val="32"/>
          <w:lang w:val="en-US" w:eastAsia="en-US"/>
        </w:rPr>
        <w:t>办公室主任兼任。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（二）</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工作人员按原职务（职级）核定的工资标准存入个人档案，纳入档案管理。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（三）</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工作人员按国家规定，经批准依法享受的节假日、年休假、婚假、丧假、探亲假等情况，绩效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根据个人绩效考核结果发放。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（四）</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工作人员按国家规定，经批准依法享受产假、护理假、计划生育奖励假期间，薪酬待遇按生育保险的有关规定执行。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（五）</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工作人员病假、事假薪酬待遇按相关政策规定执行。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（六）</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新进人员当月15日前到岗的，薪酬待遇按全月标准执行；当月15日后到岗的，薪酬待遇按半月标准执行。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（七）</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工作人员离职、退休按照机关事业单位工作人员离职、退休政策执行。</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、社保缴费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不封存档案人员继续按原参保方式参加社会保险;封存档案的人员，且已经参加机关事业单位社会保险的，根据本人意愿，社会保险关系可保留在机关事业单位保险库，也可放弃原身份，选择参加企业职工社会保险。</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科学组织实施。薪酬改革在市委、市政府统一领导下进行，明确责任分工，抓好推进落实。在研究薪酬分配办法和绩效考核办法时要综合考虑，充分发挥绩效工资分配的激励导向作用，既要坚持多劳多得，优绩优酬，又要妥善处理分配关系，防止差距过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(二)严肃工作纪律。要严格执行政治纪律、组织纪律。研究薪酬政策不变通，不打擦边球，严禁在薪酬总量以外违规自立项目，发放津贴补贴、</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(三)维护社会稳定。要坚持以人为本，从实际出发，做好政策的制定、解读和执行工作，充分征求意见建议，注重政策的合理性、合法性，把工作想细，把风险分析透，把问题解决好，确保大局稳定。</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ZXVd0BAAC9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x6&#10;ndTpfawo6d5TGg6vYaCdmf2RnIn00Aab/kSHUZy0PV20VQMymS6tlqtVSSFJsflA+MXDdR8ivlFg&#10;WTJqHmh4WVNxfBdxTJ1TUjUHd9qYPEDj/nIQZvIUqfexx2ThsBsmQjtoTsSHXgHV6SB84aynHai5&#10;o5XnzLx1JHFal9kIs7GbDeEkXaw5cjaatziu1cEHve/yoqWmon91QOo0E0htjLWn7miqWYJpA9Pa&#10;/HnOW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IGV1XdAQAAvQ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jVmM2IxNWZiZjFhOWE4OWY4MzFiNDVmMGY2OWYifQ=="/>
  </w:docVars>
  <w:rsids>
    <w:rsidRoot w:val="00172A27"/>
    <w:rsid w:val="7D877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rPr>
  </w:style>
  <w:style w:type="paragraph" w:customStyle="1" w:styleId="5">
    <w:name w:val="Table Paragraph"/>
    <w:basedOn w:val="1"/>
    <w:qFormat/>
    <w:uiPriority w:val="1"/>
    <w:rPr>
      <w:rFonts w:ascii="宋体" w:hAnsi="宋体" w:eastAsia="宋体" w:cs="宋体"/>
    </w:rPr>
  </w:style>
  <w:style w:type="paragraph" w:styleId="6">
    <w:name w:val="List Paragraph"/>
    <w:basedOn w:val="1"/>
    <w:qFormat/>
    <w:uiPriority w:val="1"/>
    <w:pPr>
      <w:ind w:left="288" w:right="1587" w:firstLine="654"/>
      <w:jc w:val="both"/>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2024-04-24T02:20:20Z</cp:lastPrinted>
  <dcterms:modified xsi:type="dcterms:W3CDTF">2024-05-17T06:06:09Z</dcterms:modified>
  <dc:title>本溪南芬经济开发区薪酬制度改革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FD1756A8AD374AF59D70CA1B7A43199A_13</vt:lpwstr>
  </property>
</Properties>
</file>