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7D" w:rsidRDefault="00FF5B7D" w:rsidP="00FF5B7D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附件4：</w:t>
      </w:r>
    </w:p>
    <w:tbl>
      <w:tblPr>
        <w:tblW w:w="10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3057"/>
        <w:gridCol w:w="1039"/>
        <w:gridCol w:w="957"/>
        <w:gridCol w:w="1027"/>
        <w:gridCol w:w="1012"/>
        <w:gridCol w:w="821"/>
      </w:tblGrid>
      <w:tr w:rsidR="00FF5B7D" w:rsidTr="005C60CE">
        <w:trPr>
          <w:trHeight w:val="982"/>
          <w:jc w:val="center"/>
        </w:trPr>
        <w:tc>
          <w:tcPr>
            <w:tcW w:w="10300" w:type="dxa"/>
            <w:gridSpan w:val="7"/>
            <w:noWrap/>
            <w:vAlign w:val="center"/>
          </w:tcPr>
          <w:p w:rsidR="00FF5B7D" w:rsidRDefault="00FF5B7D" w:rsidP="005C60CE">
            <w:pPr>
              <w:pStyle w:val="TableParagraph"/>
              <w:ind w:right="20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仿宋" w:hint="eastAsia"/>
                <w:sz w:val="32"/>
                <w:szCs w:val="32"/>
              </w:rPr>
              <w:t>岗位适应性测试项目和标准100分</w:t>
            </w:r>
            <w:bookmarkEnd w:id="0"/>
          </w:p>
        </w:tc>
      </w:tr>
      <w:tr w:rsidR="00FF5B7D" w:rsidTr="005C60CE">
        <w:trPr>
          <w:trHeight w:val="525"/>
          <w:jc w:val="center"/>
        </w:trPr>
        <w:tc>
          <w:tcPr>
            <w:tcW w:w="2387" w:type="dxa"/>
            <w:vMerge w:val="restart"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项  目</w:t>
            </w:r>
          </w:p>
        </w:tc>
        <w:tc>
          <w:tcPr>
            <w:tcW w:w="3057" w:type="dxa"/>
            <w:vMerge w:val="restart"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测试办法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优秀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良好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基本</w:t>
            </w:r>
          </w:p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不合格</w:t>
            </w:r>
          </w:p>
        </w:tc>
      </w:tr>
      <w:tr w:rsidR="00FF5B7D" w:rsidTr="005C60CE">
        <w:trPr>
          <w:trHeight w:val="450"/>
          <w:jc w:val="center"/>
        </w:trPr>
        <w:tc>
          <w:tcPr>
            <w:tcW w:w="2387" w:type="dxa"/>
            <w:vMerge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</w:p>
        </w:tc>
        <w:tc>
          <w:tcPr>
            <w:tcW w:w="3057" w:type="dxa"/>
            <w:vMerge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80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0</w:t>
            </w:r>
          </w:p>
        </w:tc>
      </w:tr>
      <w:tr w:rsidR="00FF5B7D" w:rsidTr="005C60CE">
        <w:trPr>
          <w:trHeight w:val="615"/>
          <w:jc w:val="center"/>
        </w:trPr>
        <w:tc>
          <w:tcPr>
            <w:tcW w:w="2387" w:type="dxa"/>
            <w:vMerge w:val="restart"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驾驶员：大型车倒车入库</w:t>
            </w:r>
          </w:p>
        </w:tc>
        <w:tc>
          <w:tcPr>
            <w:tcW w:w="3057" w:type="dxa"/>
            <w:vMerge w:val="restart"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460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考生驾驶大型车，从道路一端控制线倒入车库停车，再前进出库向另一端驶过控制线后倒入车库停车。</w:t>
            </w:r>
          </w:p>
        </w:tc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优秀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良好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合格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基本</w:t>
            </w:r>
          </w:p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合格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不合格</w:t>
            </w:r>
          </w:p>
        </w:tc>
      </w:tr>
      <w:tr w:rsidR="00FF5B7D" w:rsidTr="005C60CE">
        <w:trPr>
          <w:trHeight w:val="435"/>
          <w:jc w:val="center"/>
        </w:trPr>
        <w:tc>
          <w:tcPr>
            <w:tcW w:w="2387" w:type="dxa"/>
            <w:vMerge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</w:p>
        </w:tc>
        <w:tc>
          <w:tcPr>
            <w:tcW w:w="3057" w:type="dxa"/>
            <w:vMerge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460"/>
              <w:rPr>
                <w:rFonts w:ascii="仿宋" w:eastAsia="仿宋" w:hAnsi="仿宋" w:cs="仿宋"/>
                <w:spacing w:val="-5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</w:rPr>
              <w:t>0</w:t>
            </w:r>
          </w:p>
        </w:tc>
      </w:tr>
      <w:tr w:rsidR="00FF5B7D" w:rsidTr="005C60CE">
        <w:trPr>
          <w:trHeight w:val="2321"/>
          <w:jc w:val="center"/>
        </w:trPr>
        <w:tc>
          <w:tcPr>
            <w:tcW w:w="2387" w:type="dxa"/>
            <w:vMerge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24"/>
              </w:rPr>
            </w:pPr>
          </w:p>
        </w:tc>
        <w:tc>
          <w:tcPr>
            <w:tcW w:w="3057" w:type="dxa"/>
            <w:vMerge/>
            <w:noWrap/>
            <w:vAlign w:val="center"/>
          </w:tcPr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460"/>
              <w:rPr>
                <w:rFonts w:ascii="仿宋" w:eastAsia="仿宋" w:hAnsi="仿宋" w:cs="仿宋"/>
                <w:spacing w:val="-5"/>
                <w:sz w:val="24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1、不按规定线路顺序行驶，不合格；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2、车身出线，不合格；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3、倒库不入，不合格；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4、在倒车前，未将两个前轮触地点均超过控制线，不合格；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5、项目完成时间超过3分钟，不合格；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6、中途停车超过10s，扣10分；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7、车辆入库停止后车身出线，不合格；</w:t>
            </w:r>
          </w:p>
          <w:p w:rsidR="00FF5B7D" w:rsidRDefault="00FF5B7D" w:rsidP="005C60C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8、行驶中车身触碰库位边线，扣5分；</w:t>
            </w:r>
          </w:p>
          <w:p w:rsidR="00FF5B7D" w:rsidRDefault="00FF5B7D" w:rsidP="005C60CE">
            <w:pPr>
              <w:pStyle w:val="TableParagraph"/>
              <w:tabs>
                <w:tab w:val="left" w:pos="695"/>
              </w:tabs>
              <w:spacing w:line="400" w:lineRule="exact"/>
              <w:ind w:right="79"/>
              <w:rPr>
                <w:rFonts w:ascii="仿宋" w:eastAsia="仿宋" w:hAnsi="仿宋" w:cs="仿宋"/>
                <w:spacing w:val="-5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9、行驶中车轮触轧车道边线，扣5分。</w:t>
            </w:r>
          </w:p>
        </w:tc>
      </w:tr>
    </w:tbl>
    <w:p w:rsidR="004B5ED8" w:rsidRPr="00FF5B7D" w:rsidRDefault="004B5ED8"/>
    <w:sectPr w:rsidR="004B5ED8" w:rsidRPr="00FF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D"/>
    <w:rsid w:val="004B5ED8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A9D8-0758-40E4-8D65-986F974A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7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5B7D"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2025-06-16T05:52:00Z</dcterms:created>
  <dcterms:modified xsi:type="dcterms:W3CDTF">2025-06-16T05:52:00Z</dcterms:modified>
</cp:coreProperties>
</file>